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1B9A7" w14:textId="77777777" w:rsidR="00D80DA8" w:rsidRDefault="007E0A45" w:rsidP="00A808C6">
      <w:pPr>
        <w:adjustRightInd w:val="0"/>
        <w:snapToGrid w:val="0"/>
        <w:spacing w:line="240" w:lineRule="auto"/>
        <w:ind w:leftChars="0" w:left="0" w:firstLineChars="0" w:firstLine="0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noProof/>
          <w:color w:val="000000"/>
          <w:sz w:val="26"/>
          <w:szCs w:val="26"/>
        </w:rPr>
        <w:drawing>
          <wp:inline distT="0" distB="0" distL="114300" distR="114300" wp14:anchorId="39692227" wp14:editId="4DB6EBEC">
            <wp:extent cx="1485900" cy="571500"/>
            <wp:effectExtent l="0" t="0" r="0" b="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984AD" w14:textId="08335AEE" w:rsidR="00D80DA8" w:rsidRPr="00A808C6" w:rsidRDefault="007E0A45" w:rsidP="0025165A">
      <w:pPr>
        <w:adjustRightInd w:val="0"/>
        <w:snapToGrid w:val="0"/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新聞稿</w:t>
      </w:r>
      <w:r>
        <w:rPr>
          <w:rFonts w:ascii="標楷體" w:eastAsia="標楷體" w:hAnsi="標楷體" w:cs="標楷體"/>
          <w:color w:val="660066"/>
          <w:sz w:val="26"/>
          <w:szCs w:val="26"/>
        </w:rPr>
        <w:t>敬請媒體記者先進發佈報導，感謝您！</w:t>
      </w:r>
    </w:p>
    <w:p w14:paraId="1BC1F98A" w14:textId="3534090B" w:rsidR="00D80DA8" w:rsidRPr="0025165A" w:rsidRDefault="007E0A45" w:rsidP="0025165A">
      <w:pPr>
        <w:adjustRightInd w:val="0"/>
        <w:snapToGrid w:val="0"/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Cs w:val="28"/>
        </w:rPr>
      </w:pPr>
      <w:r w:rsidRPr="0025165A">
        <w:rPr>
          <w:rFonts w:ascii="標楷體" w:eastAsia="標楷體" w:hAnsi="標楷體" w:cs="標楷體" w:hint="eastAsia"/>
          <w:b/>
          <w:color w:val="000000"/>
          <w:sz w:val="28"/>
          <w:szCs w:val="32"/>
        </w:rPr>
        <w:t>青</w:t>
      </w:r>
      <w:r w:rsidRPr="0025165A">
        <w:rPr>
          <w:rFonts w:ascii="標楷體" w:eastAsia="標楷體" w:hAnsi="標楷體" w:cs="標楷體" w:hint="eastAsia"/>
          <w:b/>
          <w:color w:val="000000"/>
          <w:szCs w:val="28"/>
        </w:rPr>
        <w:t>春</w:t>
      </w:r>
      <w:proofErr w:type="gramStart"/>
      <w:r w:rsidRPr="0025165A">
        <w:rPr>
          <w:rFonts w:ascii="標楷體" w:eastAsia="標楷體" w:hAnsi="標楷體" w:cs="標楷體" w:hint="eastAsia"/>
          <w:b/>
          <w:color w:val="000000"/>
          <w:szCs w:val="28"/>
        </w:rPr>
        <w:t>不</w:t>
      </w:r>
      <w:proofErr w:type="gramEnd"/>
      <w:r w:rsidRPr="0025165A">
        <w:rPr>
          <w:rFonts w:ascii="標楷體" w:eastAsia="標楷體" w:hAnsi="標楷體" w:cs="標楷體" w:hint="eastAsia"/>
          <w:b/>
          <w:color w:val="000000"/>
          <w:szCs w:val="28"/>
        </w:rPr>
        <w:t>設限，</w:t>
      </w:r>
      <w:r w:rsidRPr="0025165A">
        <w:rPr>
          <w:rFonts w:ascii="標楷體" w:eastAsia="標楷體" w:hAnsi="標楷體" w:cs="標楷體" w:hint="eastAsia"/>
          <w:b/>
          <w:color w:val="000000"/>
          <w:sz w:val="28"/>
          <w:szCs w:val="32"/>
        </w:rPr>
        <w:t>藝</w:t>
      </w:r>
      <w:r w:rsidRPr="0025165A">
        <w:rPr>
          <w:rFonts w:ascii="標楷體" w:eastAsia="標楷體" w:hAnsi="標楷體" w:cs="標楷體" w:hint="eastAsia"/>
          <w:b/>
          <w:color w:val="000000"/>
          <w:szCs w:val="28"/>
        </w:rPr>
        <w:t>術無疆界</w:t>
      </w:r>
      <w:r w:rsidR="00737DCA" w:rsidRPr="0025165A">
        <w:rPr>
          <w:rFonts w:ascii="標楷體" w:eastAsia="標楷體" w:hAnsi="標楷體" w:cs="標楷體" w:hint="eastAsia"/>
          <w:b/>
          <w:szCs w:val="28"/>
        </w:rPr>
        <w:t>「近未來之形」</w:t>
      </w:r>
      <w:r w:rsidRPr="0025165A">
        <w:rPr>
          <w:rFonts w:ascii="標楷體" w:eastAsia="標楷體" w:hAnsi="標楷體" w:cs="標楷體" w:hint="eastAsia"/>
          <w:b/>
          <w:szCs w:val="28"/>
        </w:rPr>
        <w:t>2025</w:t>
      </w:r>
      <w:proofErr w:type="gramStart"/>
      <w:r w:rsidRPr="0025165A">
        <w:rPr>
          <w:rFonts w:ascii="標楷體" w:eastAsia="標楷體" w:hAnsi="標楷體" w:cs="標楷體" w:hint="eastAsia"/>
          <w:b/>
          <w:szCs w:val="28"/>
        </w:rPr>
        <w:t>青藝</w:t>
      </w:r>
      <w:proofErr w:type="gramEnd"/>
      <w:r w:rsidRPr="0025165A">
        <w:rPr>
          <w:rFonts w:ascii="標楷體" w:eastAsia="標楷體" w:hAnsi="標楷體" w:cs="標楷體" w:hint="eastAsia"/>
          <w:b/>
          <w:szCs w:val="28"/>
        </w:rPr>
        <w:t>獎典藏作品巡迴特展</w:t>
      </w:r>
    </w:p>
    <w:p w14:paraId="3E95AAA7" w14:textId="2DA39B1B" w:rsidR="00D80DA8" w:rsidRPr="0025165A" w:rsidRDefault="005558D0" w:rsidP="0025165A">
      <w:pPr>
        <w:adjustRightInd w:val="0"/>
        <w:snapToGrid w:val="0"/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000000"/>
          <w:szCs w:val="28"/>
        </w:rPr>
      </w:pPr>
      <w:r w:rsidRPr="005558D0">
        <w:rPr>
          <w:rFonts w:ascii="標楷體" w:eastAsia="標楷體" w:hAnsi="標楷體" w:cs="標楷體" w:hint="eastAsia"/>
          <w:b/>
          <w:color w:val="000000"/>
          <w:szCs w:val="28"/>
        </w:rPr>
        <w:t>「近未來之形」國立公共資訊圖書館開展！與青年藝術家一起想像未來</w:t>
      </w:r>
      <w:r w:rsidR="009E72B8" w:rsidRPr="0025165A">
        <w:rPr>
          <w:rFonts w:ascii="標楷體" w:eastAsia="標楷體" w:hAnsi="標楷體" w:cs="標楷體" w:hint="eastAsia"/>
          <w:b/>
          <w:color w:val="000000"/>
          <w:szCs w:val="28"/>
        </w:rPr>
        <w:t>！</w:t>
      </w:r>
    </w:p>
    <w:p w14:paraId="17B31796" w14:textId="2E04ABA7" w:rsidR="005558D0" w:rsidRPr="005558D0" w:rsidRDefault="005558D0" w:rsidP="005558D0">
      <w:pPr>
        <w:pStyle w:val="Web"/>
        <w:adjustRightInd w:val="0"/>
        <w:snapToGrid w:val="0"/>
        <w:jc w:val="both"/>
        <w:rPr>
          <w:rFonts w:ascii="標楷體" w:eastAsia="標楷體" w:hAnsi="標楷體" w:hint="eastAsia"/>
        </w:rPr>
      </w:pPr>
      <w:r w:rsidRPr="005558D0">
        <w:rPr>
          <w:rFonts w:ascii="標楷體" w:eastAsia="標楷體" w:hAnsi="標楷體" w:hint="eastAsia"/>
        </w:rPr>
        <w:t>由國立高雄科技大學（高科大）主辦的「2025</w:t>
      </w:r>
      <w:proofErr w:type="gramStart"/>
      <w:r w:rsidRPr="005558D0">
        <w:rPr>
          <w:rFonts w:ascii="標楷體" w:eastAsia="標楷體" w:hAnsi="標楷體" w:hint="eastAsia"/>
        </w:rPr>
        <w:t>青藝獎</w:t>
      </w:r>
      <w:proofErr w:type="gramEnd"/>
      <w:r w:rsidRPr="005558D0">
        <w:rPr>
          <w:rFonts w:ascii="標楷體" w:eastAsia="標楷體" w:hAnsi="標楷體" w:hint="eastAsia"/>
        </w:rPr>
        <w:t>典藏作品巡迴</w:t>
      </w:r>
      <w:proofErr w:type="gramStart"/>
      <w:r w:rsidRPr="005558D0">
        <w:rPr>
          <w:rFonts w:ascii="標楷體" w:eastAsia="標楷體" w:hAnsi="標楷體" w:hint="eastAsia"/>
        </w:rPr>
        <w:t>特</w:t>
      </w:r>
      <w:proofErr w:type="gramEnd"/>
      <w:r w:rsidRPr="005558D0">
        <w:rPr>
          <w:rFonts w:ascii="標楷體" w:eastAsia="標楷體" w:hAnsi="標楷體" w:hint="eastAsia"/>
        </w:rPr>
        <w:t>展」以「近未來之形」為主題，自今年起展開全台五場巡迴展覽，透過青年創作者的視角描繪未來世界的輪廓。</w:t>
      </w:r>
    </w:p>
    <w:p w14:paraId="2FDAFEA3" w14:textId="79700DAC" w:rsidR="005558D0" w:rsidRDefault="005558D0" w:rsidP="005558D0">
      <w:pPr>
        <w:pStyle w:val="Web"/>
        <w:adjustRightInd w:val="0"/>
        <w:snapToGrid w:val="0"/>
        <w:ind w:hanging="2"/>
        <w:jc w:val="both"/>
        <w:rPr>
          <w:rFonts w:ascii="標楷體" w:eastAsia="標楷體" w:hAnsi="標楷體"/>
        </w:rPr>
      </w:pPr>
      <w:r w:rsidRPr="005558D0">
        <w:rPr>
          <w:rFonts w:ascii="標楷體" w:eastAsia="標楷體" w:hAnsi="標楷體" w:hint="eastAsia"/>
        </w:rPr>
        <w:t>首站於2月22日在台北中正紀念堂第四展覽室揭幕，吸引眾多藝文愛好者參與，展出期間廣獲好評；第二站於4月1日於台北順益台灣原住民博物館</w:t>
      </w:r>
      <w:r>
        <w:rPr>
          <w:rFonts w:ascii="標楷體" w:eastAsia="標楷體" w:hAnsi="標楷體" w:hint="eastAsia"/>
        </w:rPr>
        <w:t>特展室</w:t>
      </w:r>
      <w:r w:rsidRPr="005558D0">
        <w:rPr>
          <w:rFonts w:ascii="標楷體" w:eastAsia="標楷體" w:hAnsi="標楷體" w:hint="eastAsia"/>
        </w:rPr>
        <w:t>展出，加入原住民文化場域的對話視角。</w:t>
      </w:r>
      <w:r w:rsidR="00E03A9D">
        <w:rPr>
          <w:rFonts w:ascii="標楷體" w:eastAsia="標楷體" w:hAnsi="標楷體" w:hint="eastAsia"/>
        </w:rPr>
        <w:t>第三站</w:t>
      </w:r>
      <w:r w:rsidRPr="005558D0">
        <w:rPr>
          <w:rFonts w:ascii="標楷體" w:eastAsia="標楷體" w:hAnsi="標楷體" w:hint="eastAsia"/>
        </w:rPr>
        <w:t>展覽於4月26日移師南台灣高雄佛光山佛陀紀念館，為青年藝術注入更多文化與宗教交會的能量，</w:t>
      </w:r>
      <w:r w:rsidR="00DC5FFF">
        <w:rPr>
          <w:rFonts w:ascii="標楷體" w:eastAsia="標楷體" w:hAnsi="標楷體" w:hint="eastAsia"/>
        </w:rPr>
        <w:t>而</w:t>
      </w:r>
      <w:r w:rsidR="00E03A9D">
        <w:rPr>
          <w:rFonts w:ascii="標楷體" w:eastAsia="標楷體" w:hAnsi="標楷體" w:hint="eastAsia"/>
        </w:rPr>
        <w:t>第</w:t>
      </w:r>
      <w:r w:rsidR="00E03A9D">
        <w:rPr>
          <w:rFonts w:ascii="標楷體" w:eastAsia="標楷體" w:hAnsi="標楷體" w:hint="eastAsia"/>
        </w:rPr>
        <w:t>四</w:t>
      </w:r>
      <w:r w:rsidR="00E03A9D">
        <w:rPr>
          <w:rFonts w:ascii="標楷體" w:eastAsia="標楷體" w:hAnsi="標楷體" w:hint="eastAsia"/>
        </w:rPr>
        <w:t>站</w:t>
      </w:r>
      <w:r w:rsidR="00E03A9D" w:rsidRPr="005558D0">
        <w:rPr>
          <w:rFonts w:ascii="標楷體" w:eastAsia="標楷體" w:hAnsi="標楷體" w:hint="eastAsia"/>
        </w:rPr>
        <w:t>展覽</w:t>
      </w:r>
      <w:r w:rsidR="00E03A9D">
        <w:rPr>
          <w:rFonts w:ascii="標楷體" w:eastAsia="標楷體" w:hAnsi="標楷體" w:hint="eastAsia"/>
        </w:rPr>
        <w:t>將</w:t>
      </w:r>
      <w:r w:rsidR="00E03A9D">
        <w:rPr>
          <w:rFonts w:ascii="標楷體" w:eastAsia="標楷體" w:hAnsi="標楷體" w:hint="eastAsia"/>
        </w:rPr>
        <w:t>在</w:t>
      </w:r>
      <w:r w:rsidR="00E03A9D">
        <w:rPr>
          <w:rFonts w:ascii="標楷體" w:eastAsia="標楷體" w:hAnsi="標楷體" w:hint="eastAsia"/>
        </w:rPr>
        <w:t>5</w:t>
      </w:r>
      <w:r w:rsidR="00E03A9D" w:rsidRPr="005558D0">
        <w:rPr>
          <w:rFonts w:ascii="標楷體" w:eastAsia="標楷體" w:hAnsi="標楷體" w:hint="eastAsia"/>
        </w:rPr>
        <w:t>月6日於</w:t>
      </w:r>
      <w:r w:rsidR="00E03A9D" w:rsidRPr="00E03A9D">
        <w:rPr>
          <w:rFonts w:ascii="標楷體" w:eastAsia="標楷體" w:hAnsi="標楷體" w:hint="eastAsia"/>
        </w:rPr>
        <w:t>國立公共資訊圖書館</w:t>
      </w:r>
      <w:r w:rsidR="00E03A9D">
        <w:rPr>
          <w:rFonts w:ascii="標楷體" w:eastAsia="標楷體" w:hAnsi="標楷體" w:hint="eastAsia"/>
        </w:rPr>
        <w:t>盛大舉辦</w:t>
      </w:r>
      <w:r w:rsidR="00E03A9D" w:rsidRPr="0012415A">
        <w:rPr>
          <w:rFonts w:ascii="標楷體" w:eastAsia="標楷體" w:hAnsi="標楷體" w:hint="eastAsia"/>
        </w:rPr>
        <w:t>，</w:t>
      </w:r>
      <w:r w:rsidRPr="005558D0">
        <w:rPr>
          <w:rFonts w:ascii="標楷體" w:eastAsia="標楷體" w:hAnsi="標楷體" w:hint="eastAsia"/>
        </w:rPr>
        <w:t>開啟跨界交流的新篇章。</w:t>
      </w:r>
    </w:p>
    <w:p w14:paraId="6045C076" w14:textId="484F5F7C" w:rsidR="00DC5FFF" w:rsidRPr="0012415A" w:rsidRDefault="00DC5FFF" w:rsidP="00DC5FFF">
      <w:pPr>
        <w:pStyle w:val="Web"/>
        <w:adjustRightInd w:val="0"/>
        <w:snapToGrid w:val="0"/>
        <w:jc w:val="both"/>
        <w:rPr>
          <w:rFonts w:ascii="標楷體" w:eastAsia="標楷體" w:hAnsi="標楷體"/>
        </w:rPr>
      </w:pPr>
      <w:proofErr w:type="gramStart"/>
      <w:r w:rsidRPr="0012415A">
        <w:rPr>
          <w:rFonts w:ascii="標楷體" w:eastAsia="標楷體" w:hAnsi="標楷體" w:hint="eastAsia"/>
        </w:rPr>
        <w:t>青藝獎</w:t>
      </w:r>
      <w:proofErr w:type="gramEnd"/>
      <w:r w:rsidRPr="0012415A">
        <w:rPr>
          <w:rFonts w:ascii="標楷體" w:eastAsia="標楷體" w:hAnsi="標楷體" w:hint="eastAsia"/>
        </w:rPr>
        <w:t>的創立源自國立高雄科技大學校長楊慶煜的靈感，旨在提升科技大學的美感藝術力，激發學生的想像力和創造力。楊校長強調，AI無法取代人類的創造力和同理心，科</w:t>
      </w:r>
      <w:r w:rsidR="00DA521F" w:rsidRPr="0012415A">
        <w:rPr>
          <w:rFonts w:ascii="標楷體" w:eastAsia="標楷體" w:hAnsi="標楷體" w:hint="eastAsia"/>
        </w:rPr>
        <w:t>大</w:t>
      </w:r>
      <w:r w:rsidRPr="0012415A">
        <w:rPr>
          <w:rFonts w:ascii="標楷體" w:eastAsia="標楷體" w:hAnsi="標楷體" w:hint="eastAsia"/>
        </w:rPr>
        <w:t>學生可以透過藝術來培養這些能力，進而提升台灣科技產業的競爭力。</w:t>
      </w:r>
    </w:p>
    <w:p w14:paraId="1D781EEC" w14:textId="71894111" w:rsidR="00DA521F" w:rsidRPr="0012415A" w:rsidRDefault="00DA521F" w:rsidP="00DA521F">
      <w:pPr>
        <w:pStyle w:val="Web"/>
        <w:adjustRightInd w:val="0"/>
        <w:snapToGrid w:val="0"/>
        <w:jc w:val="both"/>
        <w:rPr>
          <w:rFonts w:ascii="標楷體" w:eastAsia="標楷體" w:hAnsi="標楷體" w:hint="eastAsia"/>
        </w:rPr>
      </w:pPr>
      <w:r w:rsidRPr="0012415A">
        <w:rPr>
          <w:rFonts w:ascii="標楷體" w:eastAsia="標楷體" w:hAnsi="標楷體" w:hint="eastAsia"/>
        </w:rPr>
        <w:t>創立於2019年的「</w:t>
      </w:r>
      <w:proofErr w:type="gramStart"/>
      <w:r w:rsidRPr="0012415A">
        <w:rPr>
          <w:rFonts w:ascii="標楷體" w:eastAsia="標楷體" w:hAnsi="標楷體" w:hint="eastAsia"/>
        </w:rPr>
        <w:t>青藝獎</w:t>
      </w:r>
      <w:proofErr w:type="gramEnd"/>
      <w:r w:rsidRPr="0012415A">
        <w:rPr>
          <w:rFonts w:ascii="標楷體" w:eastAsia="標楷體" w:hAnsi="標楷體" w:hint="eastAsia"/>
        </w:rPr>
        <w:t>」，是國內首</w:t>
      </w:r>
      <w:proofErr w:type="gramStart"/>
      <w:r w:rsidRPr="0012415A">
        <w:rPr>
          <w:rFonts w:ascii="標楷體" w:eastAsia="標楷體" w:hAnsi="標楷體" w:hint="eastAsia"/>
        </w:rPr>
        <w:t>個</w:t>
      </w:r>
      <w:proofErr w:type="gramEnd"/>
      <w:r w:rsidRPr="0012415A">
        <w:rPr>
          <w:rFonts w:ascii="標楷體" w:eastAsia="標楷體" w:hAnsi="標楷體" w:hint="eastAsia"/>
        </w:rPr>
        <w:t>由大學主辦的全國性藝術獎項，鼓勵青年藝術家</w:t>
      </w:r>
      <w:r w:rsidRPr="0025165A">
        <w:rPr>
          <w:rFonts w:ascii="標楷體" w:eastAsia="標楷體" w:hAnsi="標楷體"/>
        </w:rPr>
        <w:t>不限主題、</w:t>
      </w:r>
      <w:proofErr w:type="gramStart"/>
      <w:r w:rsidRPr="0025165A">
        <w:rPr>
          <w:rFonts w:ascii="標楷體" w:eastAsia="標楷體" w:hAnsi="標楷體"/>
        </w:rPr>
        <w:t>不限媒材</w:t>
      </w:r>
      <w:proofErr w:type="gramEnd"/>
      <w:r w:rsidRPr="0025165A">
        <w:rPr>
          <w:rFonts w:ascii="標楷體" w:eastAsia="標楷體" w:hAnsi="標楷體"/>
        </w:rPr>
        <w:t>、不限形式自由創作</w:t>
      </w:r>
      <w:r w:rsidRPr="0012415A">
        <w:rPr>
          <w:rFonts w:ascii="標楷體" w:eastAsia="標楷體" w:hAnsi="標楷體" w:hint="eastAsia"/>
        </w:rPr>
        <w:t>，強調人文與科技的融合思維。至今，</w:t>
      </w:r>
      <w:proofErr w:type="gramStart"/>
      <w:r w:rsidRPr="0012415A">
        <w:rPr>
          <w:rFonts w:ascii="標楷體" w:eastAsia="標楷體" w:hAnsi="標楷體" w:hint="eastAsia"/>
        </w:rPr>
        <w:t>青藝獎</w:t>
      </w:r>
      <w:proofErr w:type="gramEnd"/>
      <w:r w:rsidRPr="0012415A">
        <w:rPr>
          <w:rFonts w:ascii="標楷體" w:eastAsia="標楷體" w:hAnsi="標楷體" w:hint="eastAsia"/>
        </w:rPr>
        <w:t>已累積128件典藏作品，其中包括兩件金獎及典藏獎作品將於本次展覽中展出。</w:t>
      </w:r>
    </w:p>
    <w:p w14:paraId="64EF8358" w14:textId="0D779B51" w:rsidR="00DA521F" w:rsidRPr="0012415A" w:rsidRDefault="00DA521F" w:rsidP="00DA521F">
      <w:pPr>
        <w:pStyle w:val="Web"/>
        <w:adjustRightInd w:val="0"/>
        <w:snapToGrid w:val="0"/>
        <w:jc w:val="both"/>
        <w:rPr>
          <w:rFonts w:ascii="標楷體" w:eastAsia="標楷體" w:hAnsi="標楷體"/>
        </w:rPr>
      </w:pPr>
      <w:r w:rsidRPr="0012415A">
        <w:rPr>
          <w:rFonts w:ascii="標楷體" w:eastAsia="標楷體" w:hAnsi="標楷體" w:hint="eastAsia"/>
        </w:rPr>
        <w:t>「近未來之形」2025</w:t>
      </w:r>
      <w:proofErr w:type="gramStart"/>
      <w:r w:rsidRPr="0012415A">
        <w:rPr>
          <w:rFonts w:ascii="標楷體" w:eastAsia="標楷體" w:hAnsi="標楷體" w:hint="eastAsia"/>
        </w:rPr>
        <w:t>青藝獎</w:t>
      </w:r>
      <w:proofErr w:type="gramEnd"/>
      <w:r w:rsidRPr="0012415A">
        <w:rPr>
          <w:rFonts w:ascii="標楷體" w:eastAsia="標楷體" w:hAnsi="標楷體" w:hint="eastAsia"/>
        </w:rPr>
        <w:t>典藏作品巡迴</w:t>
      </w:r>
      <w:proofErr w:type="gramStart"/>
      <w:r w:rsidRPr="0012415A">
        <w:rPr>
          <w:rFonts w:ascii="標楷體" w:eastAsia="標楷體" w:hAnsi="標楷體" w:hint="eastAsia"/>
        </w:rPr>
        <w:t>特</w:t>
      </w:r>
      <w:proofErr w:type="gramEnd"/>
      <w:r w:rsidRPr="0012415A">
        <w:rPr>
          <w:rFonts w:ascii="標楷體" w:eastAsia="標楷體" w:hAnsi="標楷體" w:hint="eastAsia"/>
        </w:rPr>
        <w:t>展</w:t>
      </w:r>
      <w:r w:rsidRPr="0012415A">
        <w:rPr>
          <w:rFonts w:ascii="標楷體" w:eastAsia="標楷體" w:hAnsi="標楷體" w:hint="eastAsia"/>
        </w:rPr>
        <w:t>由台南應用科技大學美術系的鄭勝華教授擔任策展人，主題聚焦於藝術表現的未來性與多元化，並透過</w:t>
      </w:r>
      <w:proofErr w:type="gramStart"/>
      <w:r w:rsidRPr="0012415A">
        <w:rPr>
          <w:rFonts w:ascii="標楷體" w:eastAsia="標楷體" w:hAnsi="標楷體" w:hint="eastAsia"/>
        </w:rPr>
        <w:t>三</w:t>
      </w:r>
      <w:proofErr w:type="gramEnd"/>
      <w:r w:rsidRPr="0012415A">
        <w:rPr>
          <w:rFonts w:ascii="標楷體" w:eastAsia="標楷體" w:hAnsi="標楷體" w:hint="eastAsia"/>
        </w:rPr>
        <w:t>個子題進行探討：新的語言體、主題與關懷、以及未來的想像。本次展覽展現了青年藝術家對未來社會的觀察與回應，並呼應</w:t>
      </w:r>
      <w:proofErr w:type="gramStart"/>
      <w:r w:rsidRPr="0012415A">
        <w:rPr>
          <w:rFonts w:ascii="標楷體" w:eastAsia="標楷體" w:hAnsi="標楷體" w:hint="eastAsia"/>
        </w:rPr>
        <w:t>國資圖推動</w:t>
      </w:r>
      <w:proofErr w:type="gramEnd"/>
      <w:r w:rsidRPr="0012415A">
        <w:rPr>
          <w:rFonts w:ascii="標楷體" w:eastAsia="標楷體" w:hAnsi="標楷體" w:hint="eastAsia"/>
        </w:rPr>
        <w:t>藝文生活化、多元閱讀與文化參與的使命。</w:t>
      </w:r>
    </w:p>
    <w:p w14:paraId="2D498B16" w14:textId="03DEDFEE" w:rsidR="00D80DA8" w:rsidRPr="00BF0159" w:rsidRDefault="007E0A45" w:rsidP="0012415A">
      <w:pPr>
        <w:pStyle w:val="Web"/>
        <w:adjustRightInd w:val="0"/>
        <w:snapToGrid w:val="0"/>
        <w:ind w:hanging="2"/>
        <w:jc w:val="both"/>
        <w:rPr>
          <w:rFonts w:ascii="標楷體" w:eastAsia="標楷體" w:hAnsi="標楷體" w:hint="eastAsia"/>
        </w:rPr>
      </w:pPr>
      <w:r w:rsidRPr="00BF0159">
        <w:rPr>
          <w:rFonts w:ascii="標楷體" w:eastAsia="標楷體" w:hAnsi="標楷體" w:hint="eastAsia"/>
        </w:rPr>
        <w:t>巡迴</w:t>
      </w:r>
      <w:proofErr w:type="gramStart"/>
      <w:r w:rsidRPr="00BF0159">
        <w:rPr>
          <w:rFonts w:ascii="標楷體" w:eastAsia="標楷體" w:hAnsi="標楷體" w:hint="eastAsia"/>
        </w:rPr>
        <w:t>特</w:t>
      </w:r>
      <w:proofErr w:type="gramEnd"/>
      <w:r w:rsidRPr="00BF0159">
        <w:rPr>
          <w:rFonts w:ascii="標楷體" w:eastAsia="標楷體" w:hAnsi="標楷體" w:hint="eastAsia"/>
        </w:rPr>
        <w:t>展展覽資訊</w:t>
      </w:r>
      <w:r w:rsidRPr="00BF0159">
        <w:rPr>
          <w:rFonts w:ascii="標楷體" w:eastAsia="標楷體" w:hAnsi="標楷體" w:hint="eastAsia"/>
          <w:strike/>
        </w:rPr>
        <w:t>，</w:t>
      </w:r>
      <w:r w:rsidRPr="00BF0159">
        <w:rPr>
          <w:rFonts w:ascii="標楷體" w:eastAsia="標楷體" w:hAnsi="標楷體" w:hint="eastAsia"/>
        </w:rPr>
        <w:t>如下：</w:t>
      </w:r>
      <w:r w:rsidRPr="00BF0159">
        <w:rPr>
          <w:rFonts w:ascii="標楷體" w:eastAsia="標楷體" w:hAnsi="標楷體"/>
        </w:rPr>
        <w:t xml:space="preserve"> </w:t>
      </w:r>
    </w:p>
    <w:p w14:paraId="1FB7123E" w14:textId="155906AC" w:rsidR="0012415A" w:rsidRPr="0012415A" w:rsidRDefault="0012415A" w:rsidP="0012415A">
      <w:pPr>
        <w:adjustRightInd w:val="0"/>
        <w:snapToGrid w:val="0"/>
        <w:ind w:left="-2" w:firstLineChars="0" w:firstLine="722"/>
        <w:jc w:val="both"/>
        <w:rPr>
          <w:rFonts w:ascii="標楷體" w:eastAsia="標楷體" w:hAnsi="標楷體" w:hint="eastAsia"/>
          <w:szCs w:val="24"/>
        </w:rPr>
      </w:pPr>
      <w:r w:rsidRPr="0012415A">
        <w:rPr>
          <w:rFonts w:ascii="標楷體" w:eastAsia="標楷體" w:hAnsi="標楷體" w:hint="eastAsia"/>
          <w:szCs w:val="24"/>
        </w:rPr>
        <w:t>2025</w:t>
      </w:r>
      <w:proofErr w:type="gramStart"/>
      <w:r w:rsidRPr="0012415A">
        <w:rPr>
          <w:rFonts w:ascii="標楷體" w:eastAsia="標楷體" w:hAnsi="標楷體" w:hint="eastAsia"/>
          <w:szCs w:val="24"/>
        </w:rPr>
        <w:t>青藝獎</w:t>
      </w:r>
      <w:proofErr w:type="gramEnd"/>
      <w:r w:rsidRPr="0012415A">
        <w:rPr>
          <w:rFonts w:ascii="標楷體" w:eastAsia="標楷體" w:hAnsi="標楷體" w:hint="eastAsia"/>
          <w:szCs w:val="24"/>
        </w:rPr>
        <w:t>典藏作品巡迴</w:t>
      </w:r>
      <w:proofErr w:type="gramStart"/>
      <w:r w:rsidRPr="0012415A">
        <w:rPr>
          <w:rFonts w:ascii="標楷體" w:eastAsia="標楷體" w:hAnsi="標楷體" w:hint="eastAsia"/>
          <w:szCs w:val="24"/>
        </w:rPr>
        <w:t>特</w:t>
      </w:r>
      <w:proofErr w:type="gramEnd"/>
      <w:r w:rsidRPr="0012415A">
        <w:rPr>
          <w:rFonts w:ascii="標楷體" w:eastAsia="標楷體" w:hAnsi="標楷體" w:hint="eastAsia"/>
          <w:szCs w:val="24"/>
        </w:rPr>
        <w:t>展「近未來之形」</w:t>
      </w:r>
    </w:p>
    <w:p w14:paraId="4D439FC0" w14:textId="77777777" w:rsidR="0012415A" w:rsidRPr="0012415A" w:rsidRDefault="0012415A" w:rsidP="0012415A">
      <w:pPr>
        <w:adjustRightInd w:val="0"/>
        <w:snapToGrid w:val="0"/>
        <w:ind w:left="-2" w:firstLineChars="0" w:firstLine="722"/>
        <w:jc w:val="both"/>
        <w:rPr>
          <w:rFonts w:ascii="標楷體" w:eastAsia="標楷體" w:hAnsi="標楷體" w:hint="eastAsia"/>
          <w:szCs w:val="24"/>
        </w:rPr>
      </w:pPr>
      <w:r w:rsidRPr="0012415A">
        <w:rPr>
          <w:rFonts w:ascii="標楷體" w:eastAsia="標楷體" w:hAnsi="標楷體" w:hint="eastAsia"/>
          <w:szCs w:val="24"/>
        </w:rPr>
        <w:t>展覽期間：2025年5月6日（二）至6月29日（日）</w:t>
      </w:r>
    </w:p>
    <w:p w14:paraId="365470AD" w14:textId="54A14740" w:rsidR="0012415A" w:rsidRDefault="0012415A" w:rsidP="0012415A">
      <w:pPr>
        <w:adjustRightInd w:val="0"/>
        <w:snapToGrid w:val="0"/>
        <w:ind w:left="-2" w:firstLineChars="0" w:firstLine="722"/>
        <w:jc w:val="both"/>
        <w:rPr>
          <w:rFonts w:ascii="標楷體" w:eastAsia="標楷體" w:hAnsi="標楷體"/>
          <w:szCs w:val="24"/>
        </w:rPr>
      </w:pPr>
      <w:r w:rsidRPr="0012415A">
        <w:rPr>
          <w:rFonts w:ascii="標楷體" w:eastAsia="標楷體" w:hAnsi="標楷體" w:hint="eastAsia"/>
          <w:szCs w:val="24"/>
        </w:rPr>
        <w:t>展覽地點：國立公共資訊圖書館總館2樓 藝文走廊</w:t>
      </w:r>
    </w:p>
    <w:p w14:paraId="4A374A53" w14:textId="09018C59" w:rsidR="007E03C5" w:rsidRPr="0012415A" w:rsidRDefault="007E03C5" w:rsidP="0012415A">
      <w:pPr>
        <w:adjustRightInd w:val="0"/>
        <w:snapToGrid w:val="0"/>
        <w:ind w:left="-2" w:firstLineChars="0" w:firstLine="722"/>
        <w:jc w:val="both"/>
        <w:rPr>
          <w:rFonts w:ascii="標楷體" w:eastAsia="標楷體" w:hAnsi="標楷體" w:hint="eastAsia"/>
          <w:szCs w:val="24"/>
        </w:rPr>
      </w:pPr>
      <w:r w:rsidRPr="0012415A">
        <w:rPr>
          <w:rFonts w:ascii="標楷體" w:eastAsia="標楷體" w:hAnsi="標楷體" w:hint="eastAsia"/>
          <w:szCs w:val="24"/>
        </w:rPr>
        <w:t>展覽地</w:t>
      </w:r>
      <w:r>
        <w:rPr>
          <w:rFonts w:ascii="標楷體" w:eastAsia="標楷體" w:hAnsi="標楷體" w:hint="eastAsia"/>
          <w:szCs w:val="24"/>
        </w:rPr>
        <w:t>址</w:t>
      </w:r>
      <w:bookmarkStart w:id="0" w:name="_GoBack"/>
      <w:bookmarkEnd w:id="0"/>
      <w:r w:rsidRPr="0012415A">
        <w:rPr>
          <w:rFonts w:ascii="標楷體" w:eastAsia="標楷體" w:hAnsi="標楷體" w:hint="eastAsia"/>
          <w:szCs w:val="24"/>
        </w:rPr>
        <w:t>：</w:t>
      </w:r>
      <w:r w:rsidRPr="007E03C5">
        <w:rPr>
          <w:rFonts w:ascii="標楷體" w:eastAsia="標楷體" w:hAnsi="標楷體" w:hint="eastAsia"/>
          <w:szCs w:val="24"/>
        </w:rPr>
        <w:t>臺中市南區五權南路100號</w:t>
      </w:r>
    </w:p>
    <w:p w14:paraId="2785C011" w14:textId="1841649C" w:rsidR="00D80DA8" w:rsidRDefault="0012415A" w:rsidP="0012415A">
      <w:pPr>
        <w:adjustRightInd w:val="0"/>
        <w:snapToGrid w:val="0"/>
        <w:ind w:left="-2" w:firstLineChars="0" w:firstLine="722"/>
        <w:jc w:val="both"/>
        <w:rPr>
          <w:rFonts w:ascii="標楷體" w:eastAsia="標楷體" w:hAnsi="標楷體"/>
          <w:szCs w:val="24"/>
        </w:rPr>
      </w:pPr>
      <w:r w:rsidRPr="0012415A">
        <w:rPr>
          <w:rFonts w:ascii="標楷體" w:eastAsia="標楷體" w:hAnsi="標楷體" w:hint="eastAsia"/>
          <w:szCs w:val="24"/>
        </w:rPr>
        <w:t>開幕式：2025年5月6日（二）上午11點</w:t>
      </w:r>
    </w:p>
    <w:p w14:paraId="1FBD8286" w14:textId="77777777" w:rsidR="0012415A" w:rsidRPr="00BF0159" w:rsidRDefault="0012415A" w:rsidP="0012415A">
      <w:pPr>
        <w:adjustRightInd w:val="0"/>
        <w:snapToGrid w:val="0"/>
        <w:ind w:left="-2" w:firstLineChars="0" w:firstLine="722"/>
        <w:jc w:val="both"/>
        <w:rPr>
          <w:rFonts w:ascii="標楷體" w:eastAsia="標楷體" w:hAnsi="標楷體" w:hint="eastAsia"/>
          <w:szCs w:val="24"/>
        </w:rPr>
      </w:pPr>
    </w:p>
    <w:p w14:paraId="0C7886D7" w14:textId="03FCCE2B" w:rsidR="00D80DA8" w:rsidRDefault="007E0A45" w:rsidP="0025165A">
      <w:pPr>
        <w:adjustRightInd w:val="0"/>
        <w:snapToGrid w:val="0"/>
        <w:ind w:left="-2" w:firstLineChars="0" w:firstLine="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BF0159">
        <w:rPr>
          <w:rFonts w:ascii="標楷體" w:eastAsia="標楷體" w:hAnsi="標楷體" w:hint="eastAsia"/>
          <w:szCs w:val="24"/>
        </w:rPr>
        <w:t>高科大誠摯邀請各界及藝術愛好者，一同走進展覽現場，見證藝術教育的永續能量和青年藝術家的璀璨未來。相關資訊可至高科大</w:t>
      </w:r>
      <w:proofErr w:type="gramStart"/>
      <w:r w:rsidRPr="00BF0159">
        <w:rPr>
          <w:rFonts w:ascii="標楷體" w:eastAsia="標楷體" w:hAnsi="標楷體" w:hint="eastAsia"/>
          <w:szCs w:val="24"/>
        </w:rPr>
        <w:t>共教院</w:t>
      </w:r>
      <w:proofErr w:type="gramEnd"/>
      <w:r w:rsidRPr="00BF0159">
        <w:rPr>
          <w:rFonts w:ascii="標楷體" w:eastAsia="標楷體" w:hAnsi="標楷體" w:hint="eastAsia"/>
          <w:szCs w:val="24"/>
        </w:rPr>
        <w:t>藝文</w:t>
      </w:r>
      <w:proofErr w:type="gramStart"/>
      <w:r w:rsidRPr="00BF0159">
        <w:rPr>
          <w:rFonts w:ascii="標楷體" w:eastAsia="標楷體" w:hAnsi="標楷體" w:hint="eastAsia"/>
          <w:szCs w:val="24"/>
        </w:rPr>
        <w:t>中心官</w:t>
      </w:r>
      <w:proofErr w:type="gramEnd"/>
      <w:r w:rsidRPr="00BF0159">
        <w:rPr>
          <w:rFonts w:ascii="標楷體" w:eastAsia="標楷體" w:hAnsi="標楷體" w:hint="eastAsia"/>
          <w:szCs w:val="24"/>
        </w:rPr>
        <w:t>網https://arts.nkust.edu.tw/查詢。</w:t>
      </w:r>
      <w:r>
        <w:rPr>
          <w:rFonts w:ascii="標楷體" w:eastAsia="標楷體" w:hAnsi="標楷體" w:cs="標楷體"/>
          <w:color w:val="000000"/>
          <w:sz w:val="26"/>
          <w:szCs w:val="26"/>
        </w:rPr>
        <w:t>國立高雄科技大學 202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.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402626">
        <w:rPr>
          <w:rFonts w:ascii="標楷體" w:eastAsia="標楷體" w:hAnsi="標楷體" w:cs="標楷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z w:val="26"/>
          <w:szCs w:val="26"/>
        </w:rPr>
        <w:t>.</w:t>
      </w:r>
      <w:r w:rsidR="00AC1F7C"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="0025165A">
        <w:rPr>
          <w:rFonts w:ascii="標楷體" w:eastAsia="標楷體" w:hAnsi="標楷體" w:cs="標楷體" w:hint="eastAsia"/>
          <w:color w:val="000000"/>
          <w:sz w:val="26"/>
          <w:szCs w:val="26"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A808C6" w14:paraId="6C14C811" w14:textId="77777777" w:rsidTr="00CA54C7">
        <w:trPr>
          <w:trHeight w:val="499"/>
        </w:trPr>
        <w:tc>
          <w:tcPr>
            <w:tcW w:w="5272" w:type="dxa"/>
            <w:shd w:val="clear" w:color="auto" w:fill="auto"/>
          </w:tcPr>
          <w:p w14:paraId="1730BEDD" w14:textId="77777777" w:rsidR="00A808C6" w:rsidRDefault="00A808C6" w:rsidP="00CA54C7">
            <w:pPr>
              <w:widowControl/>
              <w:adjustRightInd w:val="0"/>
              <w:snapToGrid w:val="0"/>
              <w:ind w:left="0" w:hanging="2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國立高雄科技大學共同教育學院藝術文化中心</w:t>
            </w:r>
          </w:p>
          <w:p w14:paraId="4416F475" w14:textId="77777777" w:rsidR="00A808C6" w:rsidRDefault="00A808C6" w:rsidP="00CA54C7">
            <w:pPr>
              <w:widowControl/>
              <w:adjustRightInd w:val="0"/>
              <w:snapToGrid w:val="0"/>
              <w:ind w:left="0" w:hanging="2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活動聯絡人：吳小姐電話：</w:t>
            </w:r>
            <w:r>
              <w:rPr>
                <w:rFonts w:ascii="標楷體" w:eastAsia="標楷體" w:hAnsi="標楷體"/>
                <w:sz w:val="18"/>
                <w:szCs w:val="16"/>
              </w:rPr>
              <w:t>07-6011000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#22351</w:t>
            </w:r>
          </w:p>
        </w:tc>
        <w:tc>
          <w:tcPr>
            <w:tcW w:w="5272" w:type="dxa"/>
          </w:tcPr>
          <w:p w14:paraId="3FAD13FB" w14:textId="77777777" w:rsidR="00A808C6" w:rsidRDefault="00A808C6" w:rsidP="00CA54C7">
            <w:pPr>
              <w:widowControl/>
              <w:adjustRightInd w:val="0"/>
              <w:snapToGrid w:val="0"/>
              <w:ind w:left="0" w:hanging="2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國立高雄科技大學 秘書室新聞聯絡人：李婉君專案經理</w:t>
            </w:r>
          </w:p>
          <w:p w14:paraId="6DE4581A" w14:textId="77777777" w:rsidR="00A808C6" w:rsidRDefault="00A808C6" w:rsidP="00CA54C7">
            <w:pPr>
              <w:widowControl/>
              <w:adjustRightInd w:val="0"/>
              <w:snapToGrid w:val="0"/>
              <w:ind w:left="0" w:hanging="2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電話： 07-</w:t>
            </w:r>
            <w:r>
              <w:rPr>
                <w:rFonts w:ascii="標楷體" w:eastAsia="標楷體" w:hAnsi="標楷體"/>
                <w:sz w:val="18"/>
                <w:szCs w:val="16"/>
              </w:rPr>
              <w:t>6011000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#</w:t>
            </w:r>
            <w:r>
              <w:rPr>
                <w:rFonts w:ascii="標楷體" w:eastAsia="標楷體" w:hAnsi="標楷體"/>
                <w:sz w:val="18"/>
                <w:szCs w:val="16"/>
              </w:rPr>
              <w:t>31021</w:t>
            </w:r>
          </w:p>
        </w:tc>
      </w:tr>
    </w:tbl>
    <w:p w14:paraId="4E7F04B4" w14:textId="77777777" w:rsidR="00D80DA8" w:rsidRDefault="00D80DA8" w:rsidP="00A808C6">
      <w:pPr>
        <w:widowControl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rFonts w:ascii="標楷體" w:eastAsia="標楷體" w:hAnsi="標楷體" w:cs="標楷體"/>
          <w:color w:val="000000"/>
          <w:sz w:val="26"/>
          <w:szCs w:val="26"/>
        </w:rPr>
      </w:pPr>
    </w:p>
    <w:sectPr w:rsidR="00D80D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304" w:bottom="851" w:left="130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A23C" w14:textId="77777777" w:rsidR="00EF7FB6" w:rsidRDefault="00EF7FB6">
      <w:pPr>
        <w:spacing w:line="240" w:lineRule="auto"/>
        <w:ind w:left="0" w:hanging="2"/>
      </w:pPr>
      <w:r>
        <w:separator/>
      </w:r>
    </w:p>
  </w:endnote>
  <w:endnote w:type="continuationSeparator" w:id="0">
    <w:p w14:paraId="68B4D03A" w14:textId="77777777" w:rsidR="00EF7FB6" w:rsidRDefault="00EF7F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10C3A" w14:textId="77777777" w:rsidR="00D80DA8" w:rsidRDefault="00D80DA8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F022" w14:textId="77777777" w:rsidR="00D80DA8" w:rsidRDefault="00D80DA8" w:rsidP="00A808C6">
    <w:pPr>
      <w:pStyle w:val="a6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F13EC" w14:textId="77777777" w:rsidR="00D80DA8" w:rsidRDefault="00D80DA8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3961D" w14:textId="77777777" w:rsidR="00EF7FB6" w:rsidRDefault="00EF7FB6">
      <w:pPr>
        <w:spacing w:line="240" w:lineRule="auto"/>
        <w:ind w:left="0" w:hanging="2"/>
      </w:pPr>
      <w:r>
        <w:separator/>
      </w:r>
    </w:p>
  </w:footnote>
  <w:footnote w:type="continuationSeparator" w:id="0">
    <w:p w14:paraId="6D6A575A" w14:textId="77777777" w:rsidR="00EF7FB6" w:rsidRDefault="00EF7F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E60B" w14:textId="77777777" w:rsidR="00D80DA8" w:rsidRDefault="00D80DA8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9F258" w14:textId="77777777" w:rsidR="00D80DA8" w:rsidRDefault="00D80DA8">
    <w:pPr>
      <w:pStyle w:val="a7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EAD06" w14:textId="77777777" w:rsidR="00D80DA8" w:rsidRDefault="00D80DA8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03EF"/>
    <w:multiLevelType w:val="multilevel"/>
    <w:tmpl w:val="413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4414C"/>
    <w:multiLevelType w:val="multilevel"/>
    <w:tmpl w:val="A17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AE"/>
    <w:rsid w:val="00011BB0"/>
    <w:rsid w:val="00014936"/>
    <w:rsid w:val="00023375"/>
    <w:rsid w:val="0002401D"/>
    <w:rsid w:val="00061CF1"/>
    <w:rsid w:val="00063C67"/>
    <w:rsid w:val="0006586C"/>
    <w:rsid w:val="00091EBB"/>
    <w:rsid w:val="000D5C71"/>
    <w:rsid w:val="000F68EA"/>
    <w:rsid w:val="00112517"/>
    <w:rsid w:val="001154CB"/>
    <w:rsid w:val="0012415A"/>
    <w:rsid w:val="00127543"/>
    <w:rsid w:val="00157D16"/>
    <w:rsid w:val="001723B5"/>
    <w:rsid w:val="00177300"/>
    <w:rsid w:val="00196799"/>
    <w:rsid w:val="00196868"/>
    <w:rsid w:val="001A06D5"/>
    <w:rsid w:val="001E00BD"/>
    <w:rsid w:val="001F2597"/>
    <w:rsid w:val="00205E01"/>
    <w:rsid w:val="002130E1"/>
    <w:rsid w:val="00216E76"/>
    <w:rsid w:val="002474AB"/>
    <w:rsid w:val="00250D70"/>
    <w:rsid w:val="0025165A"/>
    <w:rsid w:val="0027465C"/>
    <w:rsid w:val="00287929"/>
    <w:rsid w:val="002A27D6"/>
    <w:rsid w:val="002A6878"/>
    <w:rsid w:val="002B277A"/>
    <w:rsid w:val="002D2C53"/>
    <w:rsid w:val="002F6F0F"/>
    <w:rsid w:val="0036012F"/>
    <w:rsid w:val="003953D2"/>
    <w:rsid w:val="003B6BAE"/>
    <w:rsid w:val="003C161C"/>
    <w:rsid w:val="00402626"/>
    <w:rsid w:val="00430CE1"/>
    <w:rsid w:val="00440FAD"/>
    <w:rsid w:val="004A12D1"/>
    <w:rsid w:val="004C1FFC"/>
    <w:rsid w:val="004D0D90"/>
    <w:rsid w:val="00522555"/>
    <w:rsid w:val="005321AC"/>
    <w:rsid w:val="00541CDF"/>
    <w:rsid w:val="0054611B"/>
    <w:rsid w:val="005558D0"/>
    <w:rsid w:val="00564B0B"/>
    <w:rsid w:val="00572CB3"/>
    <w:rsid w:val="00593192"/>
    <w:rsid w:val="00595241"/>
    <w:rsid w:val="005B5E44"/>
    <w:rsid w:val="00604E7D"/>
    <w:rsid w:val="006227F5"/>
    <w:rsid w:val="00622EB9"/>
    <w:rsid w:val="00625378"/>
    <w:rsid w:val="00635BC3"/>
    <w:rsid w:val="006855C6"/>
    <w:rsid w:val="006B64CF"/>
    <w:rsid w:val="006B7902"/>
    <w:rsid w:val="006E4587"/>
    <w:rsid w:val="006E4979"/>
    <w:rsid w:val="0071750C"/>
    <w:rsid w:val="00737DCA"/>
    <w:rsid w:val="007444CC"/>
    <w:rsid w:val="00785790"/>
    <w:rsid w:val="00790E1E"/>
    <w:rsid w:val="007966E9"/>
    <w:rsid w:val="007A583E"/>
    <w:rsid w:val="007D7BE6"/>
    <w:rsid w:val="007E03C5"/>
    <w:rsid w:val="007E0A45"/>
    <w:rsid w:val="007E5DFE"/>
    <w:rsid w:val="007F4F03"/>
    <w:rsid w:val="008019DD"/>
    <w:rsid w:val="00823DA5"/>
    <w:rsid w:val="00836362"/>
    <w:rsid w:val="00861543"/>
    <w:rsid w:val="00866A30"/>
    <w:rsid w:val="008733B7"/>
    <w:rsid w:val="0088207D"/>
    <w:rsid w:val="008846B0"/>
    <w:rsid w:val="00885B5C"/>
    <w:rsid w:val="00897411"/>
    <w:rsid w:val="008C1BA6"/>
    <w:rsid w:val="008D1835"/>
    <w:rsid w:val="008E1136"/>
    <w:rsid w:val="00920200"/>
    <w:rsid w:val="009471E3"/>
    <w:rsid w:val="00960582"/>
    <w:rsid w:val="00992ABC"/>
    <w:rsid w:val="009D0CB4"/>
    <w:rsid w:val="009E72B8"/>
    <w:rsid w:val="00A04636"/>
    <w:rsid w:val="00A14DB3"/>
    <w:rsid w:val="00A16342"/>
    <w:rsid w:val="00A477A8"/>
    <w:rsid w:val="00A52670"/>
    <w:rsid w:val="00A752F5"/>
    <w:rsid w:val="00A75AB5"/>
    <w:rsid w:val="00A808C6"/>
    <w:rsid w:val="00A919D8"/>
    <w:rsid w:val="00AC1F7C"/>
    <w:rsid w:val="00AC54E6"/>
    <w:rsid w:val="00AC6B1A"/>
    <w:rsid w:val="00AC6E94"/>
    <w:rsid w:val="00AE5504"/>
    <w:rsid w:val="00AF7726"/>
    <w:rsid w:val="00B04A6B"/>
    <w:rsid w:val="00B13DAC"/>
    <w:rsid w:val="00B159C3"/>
    <w:rsid w:val="00B272D9"/>
    <w:rsid w:val="00B5203E"/>
    <w:rsid w:val="00B61B81"/>
    <w:rsid w:val="00B852DB"/>
    <w:rsid w:val="00B87FD4"/>
    <w:rsid w:val="00BA72A9"/>
    <w:rsid w:val="00BC5F96"/>
    <w:rsid w:val="00BD169E"/>
    <w:rsid w:val="00BF0159"/>
    <w:rsid w:val="00BF2900"/>
    <w:rsid w:val="00C11011"/>
    <w:rsid w:val="00C21062"/>
    <w:rsid w:val="00C30A53"/>
    <w:rsid w:val="00C55101"/>
    <w:rsid w:val="00C936CF"/>
    <w:rsid w:val="00CA06BF"/>
    <w:rsid w:val="00CA6071"/>
    <w:rsid w:val="00D0394F"/>
    <w:rsid w:val="00D10A00"/>
    <w:rsid w:val="00D1463D"/>
    <w:rsid w:val="00D23AF9"/>
    <w:rsid w:val="00D44649"/>
    <w:rsid w:val="00D52965"/>
    <w:rsid w:val="00D70175"/>
    <w:rsid w:val="00D80DA8"/>
    <w:rsid w:val="00D93492"/>
    <w:rsid w:val="00DA521F"/>
    <w:rsid w:val="00DA6980"/>
    <w:rsid w:val="00DC17CE"/>
    <w:rsid w:val="00DC5FFF"/>
    <w:rsid w:val="00DD5692"/>
    <w:rsid w:val="00DD6E35"/>
    <w:rsid w:val="00DE1BE4"/>
    <w:rsid w:val="00DE4763"/>
    <w:rsid w:val="00E0210B"/>
    <w:rsid w:val="00E03A9D"/>
    <w:rsid w:val="00E4084B"/>
    <w:rsid w:val="00E46DF9"/>
    <w:rsid w:val="00E556AF"/>
    <w:rsid w:val="00E65961"/>
    <w:rsid w:val="00EC2B08"/>
    <w:rsid w:val="00EC763E"/>
    <w:rsid w:val="00ED019E"/>
    <w:rsid w:val="00ED0C09"/>
    <w:rsid w:val="00EF7FB6"/>
    <w:rsid w:val="00F2380B"/>
    <w:rsid w:val="00F33C02"/>
    <w:rsid w:val="00F652AA"/>
    <w:rsid w:val="00F9138B"/>
    <w:rsid w:val="00FB055D"/>
    <w:rsid w:val="00FC4E26"/>
    <w:rsid w:val="00FE63C6"/>
    <w:rsid w:val="00FF54F9"/>
    <w:rsid w:val="348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55EF89"/>
  <w15:docId w15:val="{58D2FC2E-192F-43C9-B91A-EBC6A9B8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qFormat/>
    <w:rPr>
      <w:rFonts w:ascii="Cambria" w:eastAsia="新細明體" w:hAnsi="Cambria" w:cs="Times New Roman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paragraph" w:styleId="a9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annotation subject"/>
    <w:basedOn w:val="a3"/>
    <w:next w:val="a3"/>
    <w:link w:val="ab"/>
    <w:uiPriority w:val="99"/>
    <w:semiHidden/>
    <w:unhideWhenUsed/>
    <w:rPr>
      <w:b/>
      <w:bCs/>
    </w:rPr>
  </w:style>
  <w:style w:type="character" w:styleId="ac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vertAlign w:val="baseline"/>
      <w:cs w:val="0"/>
    </w:rPr>
  </w:style>
  <w:style w:type="character" w:customStyle="1" w:styleId="af0">
    <w:name w:val="頁首 字元"/>
    <w:qFormat/>
    <w:rPr>
      <w:w w:val="100"/>
      <w:kern w:val="2"/>
      <w:position w:val="-1"/>
      <w:vertAlign w:val="baseline"/>
      <w:cs w:val="0"/>
    </w:rPr>
  </w:style>
  <w:style w:type="character" w:customStyle="1" w:styleId="af1">
    <w:name w:val="頁尾 字元"/>
    <w:rPr>
      <w:w w:val="100"/>
      <w:kern w:val="2"/>
      <w:position w:val="-1"/>
      <w:vertAlign w:val="baseline"/>
      <w:cs w:val="0"/>
    </w:rPr>
  </w:style>
  <w:style w:type="character" w:customStyle="1" w:styleId="A50">
    <w:name w:val="A5"/>
    <w:rPr>
      <w:color w:val="221E1F"/>
      <w:w w:val="100"/>
      <w:position w:val="-1"/>
      <w:sz w:val="28"/>
      <w:szCs w:val="28"/>
      <w:vertAlign w:val="baseline"/>
      <w:cs w:val="0"/>
    </w:rPr>
  </w:style>
  <w:style w:type="character" w:customStyle="1" w:styleId="a4">
    <w:name w:val="註解文字 字元"/>
    <w:basedOn w:val="a0"/>
    <w:link w:val="a3"/>
    <w:uiPriority w:val="99"/>
    <w:semiHidden/>
    <w:rPr>
      <w:kern w:val="2"/>
      <w:position w:val="-1"/>
      <w:sz w:val="24"/>
      <w:szCs w:val="22"/>
    </w:rPr>
  </w:style>
  <w:style w:type="character" w:customStyle="1" w:styleId="ab">
    <w:name w:val="註解主旨 字元"/>
    <w:basedOn w:val="a4"/>
    <w:link w:val="aa"/>
    <w:uiPriority w:val="99"/>
    <w:semiHidden/>
    <w:qFormat/>
    <w:rPr>
      <w:b/>
      <w:bCs/>
      <w:kern w:val="2"/>
      <w:position w:val="-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j4KTbMzHeGLsDyNN2Qc1t9QDrQ==">CgMxLjA4AHIhMWlBeTZlVmE1ME4wcV9LaWd6NXM5R0NQaHFwN1QzQWg3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E6971F-94EA-465A-99C5-9EC96BC9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蘇鈴琇</dc:creator>
  <cp:lastModifiedBy>user</cp:lastModifiedBy>
  <cp:revision>3</cp:revision>
  <dcterms:created xsi:type="dcterms:W3CDTF">2025-04-18T03:12:00Z</dcterms:created>
  <dcterms:modified xsi:type="dcterms:W3CDTF">2025-04-18T03:13:00Z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eyJoZGlkIjoiNGU5YTk2NWU3OTRhNTU0YjZlNWE0ODExMjY4YzM0MTgiLCJ1c2VySWQiOiIxMTc5MTQ4NzgxIn0=</vt:lpwstr>
  </property>
  <property fmtid="{D5CDD505-2E9C-101B-9397-08002B2CF9AE}" pid="3" name="KSOProductBuildVer">
    <vt:lpwstr>2052-12.1.0.20305</vt:lpwstr>
  </property>
  <property fmtid="{D5CDD505-2E9C-101B-9397-08002B2CF9AE}" pid="4" name="ICV">
    <vt:lpwstr>C7FC27B9EF624BDDB84B895720021455_13</vt:lpwstr>
  </property>
</Properties>
</file>