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Layout w:type="fixed"/>
        <w:tblCellMar>
          <w:left w:w="10" w:type="dxa"/>
          <w:right w:w="10" w:type="dxa"/>
        </w:tblCellMar>
        <w:tblLook w:val="0000" w:firstRow="0" w:lastRow="0" w:firstColumn="0" w:lastColumn="0" w:noHBand="0" w:noVBand="0"/>
      </w:tblPr>
      <w:tblGrid>
        <w:gridCol w:w="747"/>
        <w:gridCol w:w="5520"/>
        <w:gridCol w:w="4561"/>
      </w:tblGrid>
      <w:tr w:rsidR="008620A4">
        <w:trPr>
          <w:cantSplit/>
          <w:trHeight w:val="359"/>
          <w:tblHeader/>
        </w:trPr>
        <w:tc>
          <w:tcPr>
            <w:tcW w:w="10828" w:type="dxa"/>
            <w:gridSpan w:val="3"/>
            <w:shd w:val="clear" w:color="auto" w:fill="auto"/>
            <w:tcMar>
              <w:top w:w="0" w:type="dxa"/>
              <w:left w:w="28" w:type="dxa"/>
              <w:bottom w:w="0" w:type="dxa"/>
              <w:right w:w="28" w:type="dxa"/>
            </w:tcMar>
            <w:vAlign w:val="center"/>
          </w:tcPr>
          <w:p w:rsidR="008620A4" w:rsidRDefault="00AF720C">
            <w:pPr>
              <w:pStyle w:val="Standard"/>
              <w:spacing w:before="72" w:line="240" w:lineRule="exact"/>
              <w:jc w:val="center"/>
              <w:rPr>
                <w:rFonts w:ascii="標楷體" w:eastAsia="標楷體" w:hAnsi="標楷體"/>
                <w:sz w:val="32"/>
                <w:szCs w:val="32"/>
              </w:rPr>
            </w:pPr>
            <w:r>
              <w:rPr>
                <w:rFonts w:ascii="標楷體" w:eastAsia="標楷體" w:hAnsi="標楷體"/>
                <w:sz w:val="32"/>
                <w:szCs w:val="32"/>
              </w:rPr>
              <w:t>國立公共資訊圖書館</w:t>
            </w:r>
          </w:p>
        </w:tc>
      </w:tr>
      <w:tr w:rsidR="008620A4">
        <w:trPr>
          <w:cantSplit/>
          <w:trHeight w:val="601"/>
          <w:tblHeader/>
        </w:trPr>
        <w:tc>
          <w:tcPr>
            <w:tcW w:w="10828" w:type="dxa"/>
            <w:gridSpan w:val="3"/>
            <w:shd w:val="clear" w:color="auto" w:fill="auto"/>
            <w:tcMar>
              <w:top w:w="0" w:type="dxa"/>
              <w:left w:w="28" w:type="dxa"/>
              <w:bottom w:w="0" w:type="dxa"/>
              <w:right w:w="28" w:type="dxa"/>
            </w:tcMar>
            <w:vAlign w:val="center"/>
          </w:tcPr>
          <w:p w:rsidR="008620A4" w:rsidRDefault="00AF720C">
            <w:pPr>
              <w:pStyle w:val="Standard"/>
              <w:spacing w:before="180" w:line="240" w:lineRule="exact"/>
              <w:jc w:val="center"/>
              <w:rPr>
                <w:rFonts w:ascii="標楷體" w:eastAsia="標楷體" w:hAnsi="標楷體"/>
                <w:sz w:val="28"/>
                <w:szCs w:val="28"/>
              </w:rPr>
            </w:pPr>
            <w:r>
              <w:rPr>
                <w:rFonts w:ascii="標楷體" w:eastAsia="標楷體" w:hAnsi="標楷體"/>
                <w:sz w:val="28"/>
                <w:szCs w:val="28"/>
              </w:rPr>
              <w:t>立法院審議中央政府總預算案所提決議、附帶決議及注意辦理事項辦理情形報告表</w:t>
            </w:r>
          </w:p>
        </w:tc>
      </w:tr>
      <w:tr w:rsidR="008620A4">
        <w:trPr>
          <w:cantSplit/>
          <w:tblHeader/>
        </w:trPr>
        <w:tc>
          <w:tcPr>
            <w:tcW w:w="10828" w:type="dxa"/>
            <w:gridSpan w:val="3"/>
            <w:tcBorders>
              <w:bottom w:val="single" w:sz="12" w:space="0" w:color="000000"/>
            </w:tcBorders>
            <w:shd w:val="clear" w:color="auto" w:fill="auto"/>
            <w:tcMar>
              <w:top w:w="0" w:type="dxa"/>
              <w:left w:w="28" w:type="dxa"/>
              <w:bottom w:w="0" w:type="dxa"/>
              <w:right w:w="28" w:type="dxa"/>
            </w:tcMar>
            <w:vAlign w:val="center"/>
          </w:tcPr>
          <w:p w:rsidR="008620A4" w:rsidRDefault="00AF720C">
            <w:pPr>
              <w:pStyle w:val="xl36"/>
              <w:widowControl w:val="0"/>
              <w:spacing w:before="72" w:after="0" w:line="240" w:lineRule="exact"/>
              <w:textAlignment w:val="auto"/>
              <w:rPr>
                <w:rFonts w:ascii="標楷體" w:eastAsia="標楷體" w:hAnsi="標楷體"/>
                <w:kern w:val="3"/>
                <w:sz w:val="24"/>
                <w:szCs w:val="24"/>
              </w:rPr>
            </w:pPr>
            <w:r>
              <w:rPr>
                <w:rFonts w:ascii="標楷體" w:eastAsia="標楷體" w:hAnsi="標楷體"/>
                <w:kern w:val="3"/>
                <w:sz w:val="24"/>
                <w:szCs w:val="24"/>
              </w:rPr>
              <w:t>中華民國111年度</w:t>
            </w:r>
          </w:p>
        </w:tc>
      </w:tr>
      <w:tr w:rsidR="008620A4">
        <w:trPr>
          <w:cantSplit/>
          <w:tblHeader/>
        </w:trPr>
        <w:tc>
          <w:tcPr>
            <w:tcW w:w="626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20A4" w:rsidRDefault="00AF720C">
            <w:pPr>
              <w:pStyle w:val="Standard"/>
              <w:spacing w:before="72" w:line="240" w:lineRule="exact"/>
              <w:jc w:val="center"/>
              <w:rPr>
                <w:rFonts w:ascii="標楷體" w:eastAsia="標楷體" w:hAnsi="標楷體"/>
                <w:szCs w:val="24"/>
              </w:rPr>
            </w:pPr>
            <w:r>
              <w:rPr>
                <w:rFonts w:ascii="標楷體" w:eastAsia="標楷體" w:hAnsi="標楷體"/>
                <w:szCs w:val="24"/>
              </w:rPr>
              <w:t>決議、附帶決議及注意事項</w:t>
            </w:r>
          </w:p>
        </w:tc>
        <w:tc>
          <w:tcPr>
            <w:tcW w:w="456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620A4" w:rsidRDefault="00AF720C">
            <w:pPr>
              <w:pStyle w:val="Standard"/>
              <w:spacing w:before="72" w:line="240" w:lineRule="exact"/>
              <w:jc w:val="center"/>
              <w:rPr>
                <w:rFonts w:ascii="標楷體" w:eastAsia="標楷體" w:hAnsi="標楷體"/>
                <w:szCs w:val="24"/>
              </w:rPr>
            </w:pPr>
            <w:r>
              <w:rPr>
                <w:rFonts w:ascii="標楷體" w:eastAsia="標楷體" w:hAnsi="標楷體"/>
                <w:szCs w:val="24"/>
              </w:rPr>
              <w:t>辦理情形</w:t>
            </w:r>
          </w:p>
        </w:tc>
      </w:tr>
      <w:tr w:rsidR="008620A4">
        <w:trPr>
          <w:cantSplit/>
          <w:tblHeader/>
        </w:trPr>
        <w:tc>
          <w:tcPr>
            <w:tcW w:w="74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620A4" w:rsidRDefault="00AF720C">
            <w:pPr>
              <w:pStyle w:val="Standard"/>
              <w:spacing w:before="72" w:line="240" w:lineRule="exact"/>
              <w:jc w:val="center"/>
              <w:rPr>
                <w:rFonts w:ascii="標楷體" w:eastAsia="標楷體" w:hAnsi="標楷體"/>
                <w:szCs w:val="24"/>
              </w:rPr>
            </w:pPr>
            <w:r>
              <w:rPr>
                <w:rFonts w:ascii="標楷體" w:eastAsia="標楷體" w:hAnsi="標楷體"/>
                <w:szCs w:val="24"/>
              </w:rPr>
              <w:t>項次</w:t>
            </w:r>
          </w:p>
        </w:tc>
        <w:tc>
          <w:tcPr>
            <w:tcW w:w="55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620A4" w:rsidRDefault="00AF720C">
            <w:pPr>
              <w:pStyle w:val="Standard"/>
              <w:spacing w:before="72" w:line="240" w:lineRule="exact"/>
              <w:jc w:val="center"/>
              <w:rPr>
                <w:rFonts w:ascii="標楷體" w:eastAsia="標楷體" w:hAnsi="標楷體"/>
                <w:szCs w:val="24"/>
              </w:rPr>
            </w:pPr>
            <w:r>
              <w:rPr>
                <w:rFonts w:ascii="標楷體" w:eastAsia="標楷體" w:hAnsi="標楷體"/>
                <w:szCs w:val="24"/>
              </w:rPr>
              <w:t>內容</w:t>
            </w:r>
          </w:p>
        </w:tc>
        <w:tc>
          <w:tcPr>
            <w:tcW w:w="456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620A4" w:rsidRDefault="008620A4"/>
        </w:tc>
      </w:tr>
      <w:tr w:rsidR="008620A4" w:rsidTr="0072796E">
        <w:trPr>
          <w:trHeight w:val="12465"/>
        </w:trPr>
        <w:tc>
          <w:tcPr>
            <w:tcW w:w="7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620A4" w:rsidRDefault="008620A4">
            <w:pPr>
              <w:pStyle w:val="Standard"/>
              <w:spacing w:line="260" w:lineRule="exact"/>
              <w:jc w:val="center"/>
              <w:rPr>
                <w:rFonts w:ascii="標楷體" w:eastAsia="標楷體" w:hAnsi="標楷體"/>
                <w:szCs w:val="24"/>
              </w:rPr>
            </w:pPr>
          </w:p>
          <w:p w:rsidR="008620A4" w:rsidRDefault="00AF720C" w:rsidP="0043336D">
            <w:pPr>
              <w:pStyle w:val="Standard"/>
              <w:spacing w:beforeLines="20" w:before="48" w:line="260" w:lineRule="exact"/>
              <w:jc w:val="center"/>
              <w:rPr>
                <w:rFonts w:ascii="標楷體" w:eastAsia="標楷體" w:hAnsi="標楷體"/>
                <w:szCs w:val="24"/>
              </w:rPr>
            </w:pPr>
            <w:r>
              <w:rPr>
                <w:rFonts w:ascii="標楷體" w:eastAsia="標楷體" w:hAnsi="標楷體"/>
                <w:szCs w:val="24"/>
              </w:rPr>
              <w:t>1</w:t>
            </w: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AF720C">
            <w:pPr>
              <w:pStyle w:val="Standard"/>
              <w:spacing w:before="640" w:line="260" w:lineRule="exact"/>
              <w:jc w:val="center"/>
              <w:rPr>
                <w:rFonts w:ascii="標楷體" w:eastAsia="標楷體" w:hAnsi="標楷體"/>
                <w:szCs w:val="24"/>
              </w:rPr>
            </w:pPr>
            <w:r>
              <w:rPr>
                <w:rFonts w:ascii="標楷體" w:eastAsia="標楷體" w:hAnsi="標楷體"/>
                <w:szCs w:val="24"/>
              </w:rPr>
              <w:t>2</w:t>
            </w: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AF720C">
            <w:pPr>
              <w:pStyle w:val="Standard"/>
              <w:spacing w:before="400" w:line="260" w:lineRule="exact"/>
              <w:jc w:val="center"/>
              <w:rPr>
                <w:rFonts w:ascii="標楷體" w:eastAsia="標楷體" w:hAnsi="標楷體"/>
                <w:szCs w:val="24"/>
              </w:rPr>
            </w:pPr>
            <w:r>
              <w:rPr>
                <w:rFonts w:ascii="標楷體" w:eastAsia="標楷體" w:hAnsi="標楷體"/>
                <w:szCs w:val="24"/>
              </w:rPr>
              <w:t>3</w:t>
            </w: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AF720C">
            <w:pPr>
              <w:pStyle w:val="Standard"/>
              <w:spacing w:before="48" w:line="260" w:lineRule="exact"/>
              <w:jc w:val="center"/>
              <w:rPr>
                <w:rFonts w:ascii="標楷體" w:eastAsia="標楷體" w:hAnsi="標楷體"/>
                <w:szCs w:val="24"/>
              </w:rPr>
            </w:pPr>
            <w:r>
              <w:rPr>
                <w:rFonts w:ascii="標楷體" w:eastAsia="標楷體" w:hAnsi="標楷體"/>
                <w:szCs w:val="24"/>
              </w:rPr>
              <w:lastRenderedPageBreak/>
              <w:t>4</w:t>
            </w: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AF720C">
            <w:pPr>
              <w:pStyle w:val="Standard"/>
              <w:spacing w:before="720" w:line="260" w:lineRule="exact"/>
              <w:jc w:val="center"/>
              <w:rPr>
                <w:rFonts w:ascii="標楷體" w:eastAsia="標楷體" w:hAnsi="標楷體"/>
                <w:szCs w:val="24"/>
              </w:rPr>
            </w:pPr>
            <w:r>
              <w:rPr>
                <w:rFonts w:ascii="標楷體" w:eastAsia="標楷體" w:hAnsi="標楷體"/>
                <w:szCs w:val="24"/>
              </w:rPr>
              <w:t>5</w:t>
            </w: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AF720C">
            <w:pPr>
              <w:pStyle w:val="Standard"/>
              <w:spacing w:before="640" w:line="260" w:lineRule="exact"/>
              <w:jc w:val="center"/>
              <w:rPr>
                <w:rFonts w:ascii="標楷體" w:eastAsia="標楷體" w:hAnsi="標楷體"/>
                <w:szCs w:val="24"/>
              </w:rPr>
            </w:pPr>
            <w:r>
              <w:rPr>
                <w:rFonts w:ascii="標楷體" w:eastAsia="標楷體" w:hAnsi="標楷體"/>
                <w:szCs w:val="24"/>
              </w:rPr>
              <w:t>6</w:t>
            </w:r>
          </w:p>
          <w:p w:rsidR="008620A4" w:rsidRDefault="008620A4">
            <w:pPr>
              <w:pStyle w:val="Standard"/>
              <w:spacing w:before="720" w:line="260" w:lineRule="exact"/>
              <w:jc w:val="center"/>
              <w:rPr>
                <w:rFonts w:ascii="標楷體" w:eastAsia="標楷體" w:hAnsi="標楷體"/>
                <w:szCs w:val="24"/>
              </w:rPr>
            </w:pPr>
          </w:p>
          <w:p w:rsidR="008620A4" w:rsidRDefault="008620A4">
            <w:pPr>
              <w:pStyle w:val="Standard"/>
              <w:spacing w:before="720"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before="240" w:line="260" w:lineRule="exact"/>
              <w:jc w:val="center"/>
              <w:rPr>
                <w:rFonts w:ascii="標楷體" w:eastAsia="標楷體" w:hAnsi="標楷體"/>
                <w:szCs w:val="24"/>
              </w:rPr>
            </w:pPr>
          </w:p>
          <w:p w:rsidR="008620A4" w:rsidRDefault="008620A4">
            <w:pPr>
              <w:pStyle w:val="Standard"/>
              <w:spacing w:before="240" w:line="260" w:lineRule="exact"/>
              <w:jc w:val="center"/>
              <w:rPr>
                <w:rFonts w:ascii="標楷體" w:eastAsia="標楷體" w:hAnsi="標楷體"/>
                <w:szCs w:val="24"/>
              </w:rPr>
            </w:pPr>
          </w:p>
          <w:p w:rsidR="008620A4" w:rsidRDefault="008620A4">
            <w:pPr>
              <w:pStyle w:val="Standard"/>
              <w:spacing w:before="240" w:line="260" w:lineRule="exact"/>
              <w:jc w:val="center"/>
              <w:rPr>
                <w:rFonts w:ascii="標楷體" w:eastAsia="標楷體" w:hAnsi="標楷體"/>
                <w:szCs w:val="24"/>
              </w:rPr>
            </w:pPr>
          </w:p>
          <w:p w:rsidR="008620A4" w:rsidRDefault="00AF720C">
            <w:pPr>
              <w:pStyle w:val="Standard"/>
              <w:spacing w:before="160" w:line="260" w:lineRule="exact"/>
              <w:jc w:val="center"/>
              <w:rPr>
                <w:rFonts w:ascii="標楷體" w:eastAsia="標楷體" w:hAnsi="標楷體"/>
                <w:szCs w:val="24"/>
              </w:rPr>
            </w:pPr>
            <w:r>
              <w:rPr>
                <w:rFonts w:ascii="標楷體" w:eastAsia="標楷體" w:hAnsi="標楷體"/>
                <w:szCs w:val="24"/>
              </w:rPr>
              <w:t>7</w:t>
            </w:r>
          </w:p>
          <w:p w:rsidR="008620A4" w:rsidRDefault="008620A4">
            <w:pPr>
              <w:pStyle w:val="Standard"/>
              <w:spacing w:before="72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AF720C">
            <w:pPr>
              <w:pStyle w:val="Standard"/>
              <w:spacing w:before="680" w:line="260" w:lineRule="exact"/>
              <w:jc w:val="center"/>
              <w:rPr>
                <w:rFonts w:ascii="標楷體" w:eastAsia="標楷體" w:hAnsi="標楷體"/>
                <w:szCs w:val="24"/>
              </w:rPr>
            </w:pPr>
            <w:r>
              <w:rPr>
                <w:rFonts w:ascii="標楷體" w:eastAsia="標楷體" w:hAnsi="標楷體"/>
                <w:szCs w:val="24"/>
              </w:rPr>
              <w:t>8</w:t>
            </w: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AF720C" w:rsidP="0043336D">
            <w:pPr>
              <w:pStyle w:val="Standard"/>
              <w:spacing w:before="680" w:line="260" w:lineRule="exact"/>
              <w:jc w:val="center"/>
              <w:rPr>
                <w:rFonts w:ascii="標楷體" w:eastAsia="標楷體" w:hAnsi="標楷體"/>
                <w:szCs w:val="24"/>
              </w:rPr>
            </w:pPr>
            <w:r>
              <w:rPr>
                <w:rFonts w:ascii="標楷體" w:eastAsia="標楷體" w:hAnsi="標楷體"/>
                <w:szCs w:val="24"/>
              </w:rPr>
              <w:t>9</w:t>
            </w:r>
          </w:p>
          <w:p w:rsidR="008620A4" w:rsidRDefault="008620A4">
            <w:pPr>
              <w:pStyle w:val="Standard"/>
              <w:spacing w:before="720" w:line="260" w:lineRule="exact"/>
              <w:jc w:val="center"/>
              <w:rPr>
                <w:rFonts w:ascii="標楷體" w:eastAsia="標楷體" w:hAnsi="標楷體"/>
                <w:szCs w:val="24"/>
              </w:rPr>
            </w:pPr>
          </w:p>
          <w:p w:rsidR="008620A4" w:rsidRDefault="008620A4">
            <w:pPr>
              <w:pStyle w:val="Standard"/>
              <w:spacing w:before="720" w:line="260" w:lineRule="exact"/>
              <w:jc w:val="center"/>
              <w:rPr>
                <w:rFonts w:ascii="標楷體" w:eastAsia="標楷體" w:hAnsi="標楷體"/>
                <w:szCs w:val="24"/>
              </w:rPr>
            </w:pPr>
          </w:p>
          <w:p w:rsidR="008620A4" w:rsidRDefault="008620A4">
            <w:pPr>
              <w:pStyle w:val="Standard"/>
              <w:spacing w:before="720" w:line="260" w:lineRule="exact"/>
              <w:jc w:val="center"/>
              <w:rPr>
                <w:rFonts w:ascii="標楷體" w:eastAsia="標楷體" w:hAnsi="標楷體"/>
                <w:szCs w:val="24"/>
              </w:rPr>
            </w:pPr>
          </w:p>
          <w:p w:rsidR="008620A4" w:rsidRDefault="008620A4">
            <w:pPr>
              <w:pStyle w:val="Standard"/>
              <w:spacing w:before="720" w:line="260" w:lineRule="exact"/>
              <w:jc w:val="center"/>
              <w:rPr>
                <w:rFonts w:ascii="標楷體" w:eastAsia="標楷體" w:hAnsi="標楷體"/>
                <w:szCs w:val="24"/>
              </w:rPr>
            </w:pPr>
          </w:p>
          <w:p w:rsidR="008620A4" w:rsidRDefault="008620A4">
            <w:pPr>
              <w:pStyle w:val="Standard"/>
              <w:spacing w:before="720" w:line="260" w:lineRule="exact"/>
              <w:jc w:val="center"/>
              <w:rPr>
                <w:rFonts w:ascii="標楷體" w:eastAsia="標楷體" w:hAnsi="標楷體"/>
                <w:szCs w:val="24"/>
              </w:rPr>
            </w:pPr>
          </w:p>
          <w:p w:rsidR="008620A4" w:rsidRDefault="00AF720C" w:rsidP="0043336D">
            <w:pPr>
              <w:pStyle w:val="Standard"/>
              <w:spacing w:before="760" w:line="260" w:lineRule="exact"/>
              <w:jc w:val="center"/>
              <w:rPr>
                <w:rFonts w:ascii="標楷體" w:eastAsia="標楷體" w:hAnsi="標楷體"/>
                <w:szCs w:val="24"/>
              </w:rPr>
            </w:pPr>
            <w:r>
              <w:rPr>
                <w:rFonts w:ascii="標楷體" w:eastAsia="標楷體" w:hAnsi="標楷體"/>
                <w:szCs w:val="24"/>
              </w:rPr>
              <w:t>10</w:t>
            </w:r>
          </w:p>
          <w:p w:rsidR="008620A4" w:rsidRDefault="008620A4">
            <w:pPr>
              <w:pStyle w:val="Standard"/>
              <w:spacing w:before="7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B63AC2" w:rsidRDefault="00B63AC2">
            <w:pPr>
              <w:pStyle w:val="Standard"/>
              <w:spacing w:line="260" w:lineRule="exact"/>
              <w:jc w:val="center"/>
              <w:rPr>
                <w:rFonts w:ascii="標楷體" w:eastAsia="標楷體" w:hAnsi="標楷體"/>
                <w:szCs w:val="24"/>
              </w:rPr>
            </w:pPr>
          </w:p>
          <w:p w:rsidR="00B63AC2" w:rsidRDefault="00B63AC2">
            <w:pPr>
              <w:pStyle w:val="Standard"/>
              <w:spacing w:line="260" w:lineRule="exact"/>
              <w:jc w:val="center"/>
              <w:rPr>
                <w:rFonts w:ascii="標楷體" w:eastAsia="標楷體" w:hAnsi="標楷體"/>
                <w:szCs w:val="24"/>
              </w:rPr>
            </w:pPr>
          </w:p>
          <w:p w:rsidR="008620A4" w:rsidRDefault="00AF720C" w:rsidP="00B63AC2">
            <w:pPr>
              <w:pStyle w:val="Standard"/>
              <w:spacing w:beforeLines="50" w:before="120" w:line="260" w:lineRule="exact"/>
              <w:jc w:val="center"/>
              <w:rPr>
                <w:rFonts w:ascii="標楷體" w:eastAsia="標楷體" w:hAnsi="標楷體"/>
                <w:szCs w:val="24"/>
              </w:rPr>
            </w:pPr>
            <w:r>
              <w:rPr>
                <w:rFonts w:ascii="標楷體" w:eastAsia="標楷體" w:hAnsi="標楷體"/>
                <w:szCs w:val="24"/>
              </w:rPr>
              <w:t>11</w:t>
            </w: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AF720C" w:rsidP="00B63AC2">
            <w:pPr>
              <w:pStyle w:val="Standard"/>
              <w:spacing w:before="100" w:line="260" w:lineRule="exact"/>
              <w:jc w:val="center"/>
              <w:rPr>
                <w:rFonts w:ascii="標楷體" w:eastAsia="標楷體" w:hAnsi="標楷體"/>
                <w:szCs w:val="24"/>
              </w:rPr>
            </w:pPr>
            <w:r>
              <w:rPr>
                <w:rFonts w:ascii="標楷體" w:eastAsia="標楷體" w:hAnsi="標楷體"/>
                <w:szCs w:val="24"/>
              </w:rPr>
              <w:t>12</w:t>
            </w: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before="1800"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AF720C">
            <w:pPr>
              <w:pStyle w:val="Standard"/>
              <w:spacing w:before="48" w:line="260" w:lineRule="exact"/>
              <w:jc w:val="center"/>
              <w:rPr>
                <w:rFonts w:ascii="標楷體" w:eastAsia="標楷體" w:hAnsi="標楷體"/>
                <w:szCs w:val="24"/>
              </w:rPr>
            </w:pPr>
            <w:r>
              <w:rPr>
                <w:rFonts w:ascii="標楷體" w:eastAsia="標楷體" w:hAnsi="標楷體"/>
                <w:szCs w:val="24"/>
              </w:rPr>
              <w:t>13</w:t>
            </w: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AF720C" w:rsidP="0043336D">
            <w:pPr>
              <w:pStyle w:val="Standard"/>
              <w:spacing w:before="220" w:line="260" w:lineRule="exact"/>
              <w:jc w:val="center"/>
              <w:rPr>
                <w:rFonts w:ascii="標楷體" w:eastAsia="標楷體" w:hAnsi="標楷體"/>
                <w:szCs w:val="24"/>
              </w:rPr>
            </w:pPr>
            <w:r>
              <w:rPr>
                <w:rFonts w:ascii="標楷體" w:eastAsia="標楷體" w:hAnsi="標楷體"/>
                <w:szCs w:val="24"/>
              </w:rPr>
              <w:t>14</w:t>
            </w:r>
          </w:p>
          <w:p w:rsidR="008620A4" w:rsidRDefault="008620A4">
            <w:pPr>
              <w:pStyle w:val="Standard"/>
              <w:spacing w:before="120" w:line="260" w:lineRule="exact"/>
              <w:jc w:val="center"/>
              <w:rPr>
                <w:rFonts w:ascii="標楷體" w:eastAsia="標楷體" w:hAnsi="標楷體"/>
                <w:szCs w:val="24"/>
              </w:rPr>
            </w:pPr>
          </w:p>
          <w:p w:rsidR="008620A4" w:rsidRDefault="008620A4">
            <w:pPr>
              <w:pStyle w:val="Standard"/>
              <w:spacing w:before="120" w:line="260" w:lineRule="exact"/>
              <w:jc w:val="center"/>
              <w:rPr>
                <w:rFonts w:ascii="標楷體" w:eastAsia="標楷體" w:hAnsi="標楷體"/>
                <w:szCs w:val="24"/>
              </w:rPr>
            </w:pPr>
          </w:p>
          <w:p w:rsidR="008620A4" w:rsidRDefault="008620A4">
            <w:pPr>
              <w:pStyle w:val="Standard"/>
              <w:spacing w:before="120" w:line="260" w:lineRule="exact"/>
              <w:jc w:val="center"/>
              <w:rPr>
                <w:rFonts w:ascii="標楷體" w:eastAsia="標楷體" w:hAnsi="標楷體"/>
                <w:szCs w:val="24"/>
              </w:rPr>
            </w:pPr>
          </w:p>
          <w:p w:rsidR="008620A4" w:rsidRDefault="008620A4">
            <w:pPr>
              <w:pStyle w:val="Standard"/>
              <w:spacing w:before="120" w:line="260" w:lineRule="exact"/>
              <w:jc w:val="center"/>
              <w:rPr>
                <w:rFonts w:ascii="標楷體" w:eastAsia="標楷體" w:hAnsi="標楷體"/>
                <w:szCs w:val="24"/>
              </w:rPr>
            </w:pPr>
          </w:p>
          <w:p w:rsidR="008620A4" w:rsidRDefault="008620A4">
            <w:pPr>
              <w:pStyle w:val="Standard"/>
              <w:spacing w:before="120"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AF720C" w:rsidP="000605EB">
            <w:pPr>
              <w:pStyle w:val="Standard"/>
              <w:spacing w:before="80" w:line="260" w:lineRule="exact"/>
              <w:jc w:val="center"/>
              <w:rPr>
                <w:rFonts w:ascii="標楷體" w:eastAsia="標楷體" w:hAnsi="標楷體"/>
                <w:szCs w:val="24"/>
              </w:rPr>
            </w:pPr>
            <w:r>
              <w:rPr>
                <w:rFonts w:ascii="標楷體" w:eastAsia="標楷體" w:hAnsi="標楷體"/>
                <w:szCs w:val="24"/>
              </w:rPr>
              <w:t>15</w:t>
            </w: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AF720C" w:rsidP="00B63AC2">
            <w:pPr>
              <w:pStyle w:val="Standard"/>
              <w:spacing w:before="120" w:line="260" w:lineRule="exact"/>
              <w:jc w:val="center"/>
              <w:rPr>
                <w:rFonts w:ascii="標楷體" w:eastAsia="標楷體" w:hAnsi="標楷體"/>
                <w:szCs w:val="24"/>
              </w:rPr>
            </w:pPr>
            <w:r>
              <w:rPr>
                <w:rFonts w:ascii="標楷體" w:eastAsia="標楷體" w:hAnsi="標楷體"/>
                <w:szCs w:val="24"/>
              </w:rPr>
              <w:t>1</w:t>
            </w: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line="260" w:lineRule="exact"/>
              <w:jc w:val="center"/>
              <w:rPr>
                <w:rFonts w:ascii="標楷體" w:eastAsia="標楷體" w:hAnsi="標楷體"/>
                <w:szCs w:val="24"/>
              </w:rPr>
            </w:pPr>
          </w:p>
          <w:p w:rsidR="001F6EC4" w:rsidRDefault="001F6EC4">
            <w:pPr>
              <w:pStyle w:val="Standard"/>
              <w:spacing w:line="260" w:lineRule="exact"/>
              <w:jc w:val="center"/>
              <w:rPr>
                <w:rFonts w:ascii="標楷體" w:eastAsia="標楷體" w:hAnsi="標楷體"/>
                <w:szCs w:val="24"/>
              </w:rPr>
            </w:pPr>
          </w:p>
          <w:p w:rsidR="001F6EC4" w:rsidRDefault="001F6EC4" w:rsidP="0072796E">
            <w:pPr>
              <w:pStyle w:val="Standard"/>
              <w:spacing w:before="260" w:line="260" w:lineRule="exact"/>
              <w:jc w:val="center"/>
              <w:rPr>
                <w:rFonts w:ascii="標楷體" w:eastAsia="標楷體" w:hAnsi="標楷體"/>
                <w:szCs w:val="24"/>
              </w:rPr>
            </w:pPr>
          </w:p>
          <w:p w:rsidR="001F6EC4" w:rsidRDefault="001F6EC4" w:rsidP="0072796E">
            <w:pPr>
              <w:pStyle w:val="Standard"/>
              <w:spacing w:before="260" w:line="260" w:lineRule="exact"/>
              <w:jc w:val="center"/>
              <w:rPr>
                <w:rFonts w:ascii="標楷體" w:eastAsia="標楷體" w:hAnsi="標楷體"/>
                <w:szCs w:val="24"/>
              </w:rPr>
            </w:pPr>
          </w:p>
          <w:p w:rsidR="001F6EC4" w:rsidRDefault="001F6EC4" w:rsidP="0072796E">
            <w:pPr>
              <w:pStyle w:val="Standard"/>
              <w:spacing w:before="260" w:line="260" w:lineRule="exact"/>
              <w:jc w:val="center"/>
              <w:rPr>
                <w:rFonts w:ascii="標楷體" w:eastAsia="標楷體" w:hAnsi="標楷體"/>
                <w:szCs w:val="24"/>
              </w:rPr>
            </w:pPr>
          </w:p>
          <w:p w:rsidR="001F6EC4" w:rsidRDefault="001F6EC4" w:rsidP="0072796E">
            <w:pPr>
              <w:pStyle w:val="Standard"/>
              <w:spacing w:before="260" w:line="260" w:lineRule="exact"/>
              <w:jc w:val="center"/>
              <w:rPr>
                <w:rFonts w:ascii="標楷體" w:eastAsia="標楷體" w:hAnsi="標楷體"/>
                <w:szCs w:val="24"/>
              </w:rPr>
            </w:pPr>
          </w:p>
          <w:p w:rsidR="001F6EC4" w:rsidRDefault="001F6EC4" w:rsidP="0072796E">
            <w:pPr>
              <w:pStyle w:val="Standard"/>
              <w:spacing w:before="260" w:line="260" w:lineRule="exact"/>
              <w:jc w:val="center"/>
              <w:rPr>
                <w:rFonts w:ascii="標楷體" w:eastAsia="標楷體" w:hAnsi="標楷體"/>
                <w:szCs w:val="24"/>
              </w:rPr>
            </w:pPr>
          </w:p>
          <w:p w:rsidR="008620A4" w:rsidRDefault="00AF720C" w:rsidP="001F6EC4">
            <w:pPr>
              <w:pStyle w:val="Standard"/>
              <w:spacing w:before="520" w:line="260" w:lineRule="exact"/>
              <w:jc w:val="center"/>
              <w:rPr>
                <w:rFonts w:ascii="標楷體" w:eastAsia="標楷體" w:hAnsi="標楷體"/>
                <w:szCs w:val="24"/>
              </w:rPr>
            </w:pPr>
            <w:r>
              <w:rPr>
                <w:rFonts w:ascii="標楷體" w:eastAsia="標楷體" w:hAnsi="標楷體"/>
                <w:szCs w:val="24"/>
              </w:rPr>
              <w:t>2</w:t>
            </w:r>
          </w:p>
          <w:p w:rsidR="008620A4" w:rsidRDefault="008620A4">
            <w:pPr>
              <w:pStyle w:val="Standard"/>
              <w:spacing w:line="260" w:lineRule="exact"/>
              <w:jc w:val="center"/>
              <w:rPr>
                <w:rFonts w:ascii="標楷體" w:eastAsia="標楷體" w:hAnsi="標楷體"/>
                <w:szCs w:val="24"/>
              </w:rPr>
            </w:pPr>
          </w:p>
          <w:p w:rsidR="008620A4" w:rsidRDefault="008620A4">
            <w:pPr>
              <w:pStyle w:val="Standard"/>
              <w:spacing w:before="1480" w:line="260" w:lineRule="exact"/>
              <w:jc w:val="center"/>
              <w:rPr>
                <w:rFonts w:ascii="標楷體" w:eastAsia="標楷體" w:hAnsi="標楷體"/>
                <w:szCs w:val="24"/>
              </w:rPr>
            </w:pPr>
          </w:p>
          <w:p w:rsidR="008620A4" w:rsidRDefault="008620A4">
            <w:pPr>
              <w:pStyle w:val="Standard"/>
              <w:spacing w:before="1480" w:line="260" w:lineRule="exact"/>
              <w:jc w:val="center"/>
              <w:rPr>
                <w:rFonts w:ascii="標楷體" w:eastAsia="標楷體" w:hAnsi="標楷體"/>
                <w:szCs w:val="24"/>
              </w:rPr>
            </w:pPr>
          </w:p>
          <w:p w:rsidR="008620A4" w:rsidRDefault="008620A4">
            <w:pPr>
              <w:pStyle w:val="Standard"/>
              <w:spacing w:before="1480" w:line="260" w:lineRule="exact"/>
              <w:jc w:val="center"/>
              <w:rPr>
                <w:rFonts w:ascii="標楷體" w:eastAsia="標楷體" w:hAnsi="標楷體"/>
                <w:szCs w:val="24"/>
              </w:rPr>
            </w:pPr>
          </w:p>
          <w:p w:rsidR="008620A4" w:rsidRDefault="008620A4">
            <w:pPr>
              <w:pStyle w:val="Standard"/>
              <w:spacing w:before="1200" w:line="260" w:lineRule="exact"/>
              <w:jc w:val="center"/>
              <w:rPr>
                <w:rFonts w:ascii="標楷體" w:eastAsia="標楷體" w:hAnsi="標楷體"/>
                <w:szCs w:val="24"/>
              </w:rPr>
            </w:pPr>
          </w:p>
          <w:p w:rsidR="008620A4" w:rsidRDefault="008620A4">
            <w:pPr>
              <w:pStyle w:val="Standard"/>
              <w:spacing w:before="360" w:line="260" w:lineRule="exact"/>
              <w:jc w:val="center"/>
              <w:rPr>
                <w:rFonts w:ascii="標楷體" w:eastAsia="標楷體" w:hAnsi="標楷體"/>
                <w:szCs w:val="24"/>
              </w:rPr>
            </w:pPr>
          </w:p>
        </w:tc>
        <w:tc>
          <w:tcPr>
            <w:tcW w:w="5520"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rsidR="008620A4" w:rsidRDefault="00AF720C">
            <w:pPr>
              <w:pStyle w:val="Standard"/>
              <w:jc w:val="both"/>
            </w:pPr>
            <w:r>
              <w:rPr>
                <w:rFonts w:ascii="標楷體" w:eastAsia="標楷體" w:hAnsi="標楷體"/>
                <w:b/>
                <w:szCs w:val="24"/>
                <w:lang w:eastAsia="zh-HK"/>
              </w:rPr>
              <w:lastRenderedPageBreak/>
              <w:t>一、通案決議部分：</w:t>
            </w:r>
          </w:p>
          <w:p w:rsidR="008620A4" w:rsidRDefault="00AF720C">
            <w:pPr>
              <w:pStyle w:val="Standard"/>
              <w:jc w:val="both"/>
              <w:rPr>
                <w:rFonts w:ascii="標楷體" w:eastAsia="標楷體" w:hAnsi="標楷體"/>
              </w:rPr>
            </w:pPr>
            <w:r>
              <w:rPr>
                <w:rFonts w:ascii="標楷體" w:eastAsia="標楷體" w:hAnsi="標楷體"/>
              </w:rPr>
              <w:t>111 年度總預算案針對各機關所屬通案刪減用途別項目決議如下：</w:t>
            </w:r>
          </w:p>
          <w:p w:rsidR="008620A4" w:rsidRDefault="00AF720C">
            <w:pPr>
              <w:pStyle w:val="Standard"/>
              <w:ind w:firstLine="120"/>
              <w:jc w:val="both"/>
              <w:rPr>
                <w:rFonts w:ascii="標楷體" w:eastAsia="標楷體" w:hAnsi="標楷體"/>
              </w:rPr>
            </w:pPr>
            <w:r>
              <w:rPr>
                <w:rFonts w:ascii="標楷體" w:eastAsia="標楷體" w:hAnsi="標楷體"/>
              </w:rPr>
              <w:t>1.減列大陸地區旅費 50％，不得流用。</w:t>
            </w:r>
          </w:p>
          <w:p w:rsidR="008620A4" w:rsidRDefault="00AF720C">
            <w:pPr>
              <w:pStyle w:val="Standard"/>
              <w:ind w:left="360" w:hanging="240"/>
              <w:jc w:val="both"/>
              <w:rPr>
                <w:rFonts w:ascii="標楷體" w:eastAsia="標楷體" w:hAnsi="標楷體"/>
              </w:rPr>
            </w:pPr>
            <w:r>
              <w:rPr>
                <w:rFonts w:ascii="標楷體" w:eastAsia="標楷體" w:hAnsi="標楷體"/>
              </w:rPr>
              <w:t xml:space="preserve">2.減列國外旅費及出國教育訓練費（不含現行法律明文規定支出）5％，除國 防部及外交部外，不得流用。 </w:t>
            </w:r>
          </w:p>
          <w:p w:rsidR="008620A4" w:rsidRDefault="00AF720C">
            <w:pPr>
              <w:pStyle w:val="Standard"/>
              <w:ind w:left="240" w:hanging="120"/>
              <w:jc w:val="both"/>
              <w:rPr>
                <w:rFonts w:ascii="標楷體" w:eastAsia="標楷體" w:hAnsi="標楷體"/>
              </w:rPr>
            </w:pPr>
            <w:r>
              <w:rPr>
                <w:rFonts w:ascii="標楷體" w:eastAsia="標楷體" w:hAnsi="標楷體"/>
              </w:rPr>
              <w:t>3.減列委辦費（不含現行法律明文規定支出）5％</w:t>
            </w:r>
          </w:p>
          <w:p w:rsidR="008620A4" w:rsidRDefault="00AF720C">
            <w:pPr>
              <w:pStyle w:val="Standard"/>
              <w:ind w:left="360" w:hanging="240"/>
              <w:jc w:val="both"/>
              <w:rPr>
                <w:rFonts w:ascii="標楷體" w:eastAsia="標楷體" w:hAnsi="標楷體"/>
              </w:rPr>
            </w:pPr>
            <w:r>
              <w:rPr>
                <w:rFonts w:ascii="標楷體" w:eastAsia="標楷體" w:hAnsi="標楷體"/>
              </w:rPr>
              <w:t xml:space="preserve">4.減列房屋建築養護費、車輛及辦公器具養護費、設施及機械設備養護費 5％ 。 </w:t>
            </w:r>
          </w:p>
          <w:p w:rsidR="008620A4" w:rsidRDefault="00AF720C">
            <w:pPr>
              <w:pStyle w:val="Standard"/>
              <w:ind w:firstLine="120"/>
              <w:jc w:val="both"/>
              <w:rPr>
                <w:rFonts w:ascii="標楷體" w:eastAsia="標楷體" w:hAnsi="標楷體"/>
              </w:rPr>
            </w:pPr>
            <w:r>
              <w:rPr>
                <w:rFonts w:ascii="標楷體" w:eastAsia="標楷體" w:hAnsi="標楷體"/>
              </w:rPr>
              <w:t>5.減列軍事裝備及設施 3％。</w:t>
            </w:r>
          </w:p>
          <w:p w:rsidR="008620A4" w:rsidRDefault="00AF720C">
            <w:pPr>
              <w:pStyle w:val="Standard"/>
              <w:ind w:left="360" w:hanging="240"/>
              <w:jc w:val="both"/>
              <w:rPr>
                <w:rFonts w:ascii="標楷體" w:eastAsia="標楷體" w:hAnsi="標楷體"/>
              </w:rPr>
            </w:pPr>
            <w:r>
              <w:rPr>
                <w:rFonts w:ascii="標楷體" w:eastAsia="標楷體" w:hAnsi="標楷體"/>
              </w:rPr>
              <w:t>6.減列一般事務費（不含現行法律明文規定支出）5％。</w:t>
            </w:r>
          </w:p>
          <w:p w:rsidR="008620A4" w:rsidRDefault="00AF720C">
            <w:pPr>
              <w:pStyle w:val="Standard"/>
              <w:ind w:firstLine="120"/>
              <w:jc w:val="both"/>
              <w:rPr>
                <w:rFonts w:ascii="標楷體" w:eastAsia="標楷體" w:hAnsi="標楷體"/>
              </w:rPr>
            </w:pPr>
            <w:r>
              <w:rPr>
                <w:rFonts w:ascii="標楷體" w:eastAsia="標楷體" w:hAnsi="標楷體"/>
              </w:rPr>
              <w:t>7.減列媒體政策及業務宣導費 30％。</w:t>
            </w:r>
          </w:p>
          <w:p w:rsidR="008620A4" w:rsidRDefault="00AF720C">
            <w:pPr>
              <w:pStyle w:val="Standard"/>
              <w:ind w:left="360" w:hanging="240"/>
              <w:jc w:val="both"/>
              <w:rPr>
                <w:rFonts w:ascii="標楷體" w:eastAsia="標楷體" w:hAnsi="標楷體"/>
              </w:rPr>
            </w:pPr>
            <w:r>
              <w:rPr>
                <w:rFonts w:ascii="標楷體" w:eastAsia="標楷體" w:hAnsi="標楷體"/>
              </w:rPr>
              <w:t>8.減列設備及投資（不含現行法律明文規定支出及資產作價投資）6％。</w:t>
            </w:r>
          </w:p>
          <w:p w:rsidR="008620A4" w:rsidRDefault="00AF720C">
            <w:pPr>
              <w:pStyle w:val="Standard"/>
              <w:ind w:left="360" w:hanging="240"/>
              <w:jc w:val="both"/>
              <w:rPr>
                <w:rFonts w:ascii="標楷體" w:eastAsia="標楷體" w:hAnsi="標楷體"/>
              </w:rPr>
            </w:pPr>
            <w:r>
              <w:rPr>
                <w:rFonts w:ascii="標楷體" w:eastAsia="標楷體" w:hAnsi="標楷體"/>
              </w:rPr>
              <w:t>9.減列對國內團體之捐助及政府機關間之補助（不含現行法律明文規定支出 ）5％。</w:t>
            </w:r>
          </w:p>
          <w:p w:rsidR="008620A4" w:rsidRDefault="00AF720C">
            <w:pPr>
              <w:pStyle w:val="Standard"/>
              <w:ind w:left="360" w:hanging="360"/>
              <w:jc w:val="both"/>
              <w:rPr>
                <w:rFonts w:ascii="標楷體" w:eastAsia="標楷體" w:hAnsi="標楷體"/>
              </w:rPr>
            </w:pPr>
            <w:r>
              <w:rPr>
                <w:rFonts w:ascii="標楷體" w:eastAsia="標楷體" w:hAnsi="標楷體"/>
              </w:rPr>
              <w:t>10.對地方政府之補助(不含現行法律明文規定支出及一般性補助款)4％。</w:t>
            </w:r>
          </w:p>
          <w:p w:rsidR="008620A4" w:rsidRDefault="00AF720C">
            <w:pPr>
              <w:pStyle w:val="Standard"/>
              <w:jc w:val="both"/>
              <w:rPr>
                <w:rFonts w:ascii="標楷體" w:eastAsia="標楷體" w:hAnsi="標楷體"/>
              </w:rPr>
            </w:pPr>
            <w:r>
              <w:rPr>
                <w:rFonts w:ascii="標楷體" w:eastAsia="標楷體" w:hAnsi="標楷體"/>
              </w:rPr>
              <w:t>11.前述三至六項允許在業務費科目範圍內調整。</w:t>
            </w:r>
          </w:p>
          <w:p w:rsidR="008620A4" w:rsidRDefault="00AF720C">
            <w:pPr>
              <w:pStyle w:val="Standard"/>
              <w:jc w:val="both"/>
              <w:rPr>
                <w:rFonts w:ascii="標楷體" w:eastAsia="標楷體" w:hAnsi="標楷體"/>
              </w:rPr>
            </w:pPr>
            <w:r>
              <w:rPr>
                <w:rFonts w:ascii="標楷體" w:eastAsia="標楷體" w:hAnsi="標楷體"/>
              </w:rPr>
              <w:t>12.前述九至十項允許在獎補助費科目範圍內調整。</w:t>
            </w:r>
          </w:p>
          <w:p w:rsidR="008620A4" w:rsidRDefault="00AF720C">
            <w:pPr>
              <w:pStyle w:val="Standard"/>
              <w:ind w:left="360" w:hanging="360"/>
              <w:jc w:val="both"/>
            </w:pPr>
            <w:r>
              <w:rPr>
                <w:rFonts w:ascii="標楷體" w:eastAsia="標楷體" w:hAnsi="標楷體"/>
              </w:rPr>
              <w:t xml:space="preserve">13.若有特殊困難無法依上開原則調整者，可提出其             </w:t>
            </w:r>
            <w:r>
              <w:rPr>
                <w:rFonts w:ascii="標楷體" w:eastAsia="標楷體" w:hAnsi="標楷體"/>
                <w:lang w:eastAsia="zh-HK"/>
              </w:rPr>
              <w:t>他</w:t>
            </w:r>
            <w:r>
              <w:rPr>
                <w:rFonts w:ascii="標楷體" w:eastAsia="標楷體" w:hAnsi="標楷體"/>
              </w:rPr>
              <w:t>可刪減項目，經主計總處審核同意後予以代替補足。</w:t>
            </w:r>
          </w:p>
          <w:p w:rsidR="008620A4" w:rsidRDefault="00AF720C">
            <w:pPr>
              <w:pStyle w:val="Standard"/>
              <w:ind w:left="360" w:hanging="360"/>
              <w:jc w:val="both"/>
              <w:rPr>
                <w:rFonts w:ascii="標楷體" w:eastAsia="標楷體" w:hAnsi="標楷體"/>
              </w:rPr>
            </w:pPr>
            <w:r>
              <w:rPr>
                <w:rFonts w:ascii="標楷體" w:eastAsia="標楷體" w:hAnsi="標楷體"/>
              </w:rPr>
              <w:t xml:space="preserve">14.如總刪減數未達270億元(約1.19％)，另予補足。 </w:t>
            </w:r>
          </w:p>
          <w:p w:rsidR="008620A4" w:rsidRDefault="00AF720C">
            <w:pPr>
              <w:pStyle w:val="Standard"/>
              <w:jc w:val="both"/>
              <w:rPr>
                <w:rFonts w:ascii="標楷體" w:eastAsia="標楷體" w:hAnsi="標楷體"/>
              </w:rPr>
            </w:pPr>
            <w:r>
              <w:rPr>
                <w:rFonts w:ascii="標楷體" w:eastAsia="標楷體" w:hAnsi="標楷體"/>
              </w:rPr>
              <w:t>111年度中央政府總預算案針對各機關及所屬統刪項目如下：</w:t>
            </w:r>
          </w:p>
          <w:p w:rsidR="008620A4" w:rsidRDefault="00AF720C">
            <w:pPr>
              <w:pStyle w:val="Standard"/>
              <w:ind w:left="360" w:hanging="240"/>
              <w:jc w:val="both"/>
              <w:rPr>
                <w:rFonts w:ascii="標楷體" w:eastAsia="標楷體" w:hAnsi="標楷體"/>
              </w:rPr>
            </w:pPr>
            <w:r>
              <w:rPr>
                <w:rFonts w:ascii="標楷體" w:eastAsia="標楷體" w:hAnsi="標楷體"/>
              </w:rPr>
              <w:t>1.大陸地區旅費：統刪50％，其中警政署及所屬、移民署、法務部、司法官學院、廉政署、矯正署及所屬、調查局、觀光局及所屬改以其他項目刪減 替代，科目自行調整。</w:t>
            </w:r>
          </w:p>
          <w:p w:rsidR="008620A4" w:rsidRDefault="00AF720C">
            <w:pPr>
              <w:pStyle w:val="Standard"/>
              <w:ind w:left="360" w:hanging="240"/>
              <w:jc w:val="both"/>
              <w:rPr>
                <w:rFonts w:ascii="標楷體" w:eastAsia="標楷體" w:hAnsi="標楷體"/>
              </w:rPr>
            </w:pPr>
            <w:r>
              <w:rPr>
                <w:rFonts w:ascii="標楷體" w:eastAsia="標楷體" w:hAnsi="標楷體"/>
              </w:rPr>
              <w:t>2.國外旅費及出國教育訓練費：除現行法律明文規定支出不刪外，其餘統刪5%，其中總統府、國家安全會議、外交部、領事事務局、國防部、僑務委 員會改以其他項目刪減替代，科目自行調整。</w:t>
            </w:r>
          </w:p>
          <w:p w:rsidR="008620A4" w:rsidRDefault="00AF720C">
            <w:pPr>
              <w:pStyle w:val="Standard"/>
              <w:ind w:left="360" w:hanging="240"/>
              <w:jc w:val="both"/>
              <w:rPr>
                <w:rFonts w:ascii="標楷體" w:eastAsia="標楷體" w:hAnsi="標楷體"/>
              </w:rPr>
            </w:pPr>
            <w:r>
              <w:rPr>
                <w:rFonts w:ascii="標楷體" w:eastAsia="標楷體" w:hAnsi="標楷體"/>
              </w:rPr>
              <w:t>3.委辦費：除現行法律明文規定支出不刪外，其餘統刪5%，其中總統府、國家安全會議、主計總處、國立故宮博物院、客家委員會及所屬、大陸</w:t>
            </w:r>
            <w:r>
              <w:rPr>
                <w:rFonts w:ascii="標楷體" w:eastAsia="標楷體" w:hAnsi="標楷體"/>
              </w:rPr>
              <w:lastRenderedPageBreak/>
              <w:t>委員會、立法院、考試院、審計部、內政部、營建署及所屬、役政署、建築研 究所、外交及國際事務學院、國防部、國防部所屬、財政部、國庫署、體 育署、國家教育研究院、法務部、司法官學院、廉政署、矯正署及所屬、臺灣高等檢察署、交通部、中央氣象局、觀光局及所屬、公路總局及所屬、職業安全衛生署、僑務委員會、畜產試驗所、家畜衛生試驗所、農業藥 物毒物試驗所、種苗改良繁殖場、臺南區農業改良場、花蓮區農業改良場、動植物防疫檢疫局及所屬、農糧署及所屬、中部科學園區管理局、南部 科學園區管理局、證券期貨局、海洋委員會、海巡署及所屬、海洋保育署、國家海洋研究院改以其他項目刪減替代，科目自行調整。</w:t>
            </w:r>
          </w:p>
          <w:p w:rsidR="008620A4" w:rsidRDefault="00AF720C">
            <w:pPr>
              <w:pStyle w:val="Standard"/>
              <w:ind w:left="360" w:hanging="360"/>
              <w:jc w:val="both"/>
              <w:rPr>
                <w:rFonts w:ascii="標楷體" w:eastAsia="標楷體" w:hAnsi="標楷體"/>
              </w:rPr>
            </w:pPr>
            <w:r>
              <w:rPr>
                <w:rFonts w:ascii="標楷體" w:eastAsia="標楷體" w:hAnsi="標楷體"/>
              </w:rPr>
              <w:t xml:space="preserve"> 4.房屋建築養護費、車輛及辦公器具養護費、設施及機械設備養護費：統刪5%，其中主計總處、公務人力發展學院、國立故宮博物院、國家發展委員會、大陸委員會、立法院、臺灣臺北地方法院、臺灣士林地方法院、臺灣新北地方法院、臺灣臺中地方法院、臺灣雲林地方法院、臺灣嘉義地方法院、臺灣臺南地方法院、臺灣高雄地方法院、臺灣屏東地方法院、臺灣臺東地方法院、臺灣花蓮地方法院、臺灣澎湖地方法院、福建金門地方法院、監察院、審計部、審計部臺北市審計處、審計部新北市審計處、審計部 桃園市審計處、審計部臺中市審計處、審計部臺南市審計處、審計部高雄市審計處、內政部、營建署及所屬、警政署及所屬、消防署及所屬、移民 署、領事事務局、外交及國際事務學院、國防部所屬、國庫署、賦稅署、臺北國稅局、高雄國稅局、北區國稅局及所屬、南區國稅局及所屬、關務署及所屬、國有財產署及所屬、財政資訊中心、教育部、體育署、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署花蓮檢察分署、臺灣高等檢察署智慧財產檢察分署、臺灣臺北地方檢察署、臺灣士林地方檢察署、臺灣新</w:t>
            </w:r>
            <w:r>
              <w:rPr>
                <w:rFonts w:ascii="標楷體" w:eastAsia="標楷體" w:hAnsi="標楷體"/>
              </w:rPr>
              <w:lastRenderedPageBreak/>
              <w:t>北地方檢察署、臺灣桃園地方檢察署、臺灣新竹地方檢察署、臺灣苗栗地方檢察署、臺灣臺中地方檢察署、臺灣南投地方檢察署、臺灣彰化地方檢察署、臺灣雲林地方檢察署、臺灣嘉義地方檢察署、臺灣臺南地方檢察署、臺灣橋頭地方檢察署、臺灣高雄地方檢察署、臺灣屏東地方檢察署、臺灣臺東地方檢察署、臺灣花蓮地方檢察 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僑務委員會、原子能委員會、輻射 偵測中心、放射性物料管理局、農業委員會、水土保持局、家畜衛生試驗所、桃園區農業改良場、臺中區農業改良場、臺南區農業改良場、高雄區農業改良場、花蓮區農業改良場、漁業署及所屬、動植物防疫檢疫局及所屬、農糧署及所屬、農田水利署、毒物及化學物質局、環境檢驗所、新竹科學園區管理局、證券期貨局、海洋委員會、海巡署及所屬、海洋保育署、國家海洋研究院改以其他項目刪減替代，科目自行調整。</w:t>
            </w:r>
          </w:p>
          <w:p w:rsidR="008620A4" w:rsidRDefault="00AF720C">
            <w:pPr>
              <w:pStyle w:val="Standard"/>
              <w:ind w:left="240" w:hanging="240"/>
              <w:jc w:val="both"/>
              <w:rPr>
                <w:rFonts w:ascii="標楷體" w:eastAsia="標楷體" w:hAnsi="標楷體"/>
              </w:rPr>
            </w:pPr>
            <w:r>
              <w:rPr>
                <w:rFonts w:ascii="標楷體" w:eastAsia="標楷體" w:hAnsi="標楷體"/>
              </w:rPr>
              <w:t>5.軍事裝備及設施：統刪 3％，其中國防部所屬改以其他項目刪減替代，科目 自行調整。</w:t>
            </w:r>
          </w:p>
          <w:p w:rsidR="008620A4" w:rsidRDefault="00AF720C">
            <w:pPr>
              <w:pStyle w:val="Standard"/>
              <w:ind w:left="240" w:hanging="240"/>
              <w:jc w:val="both"/>
              <w:rPr>
                <w:rFonts w:ascii="標楷體" w:eastAsia="標楷體" w:hAnsi="標楷體"/>
              </w:rPr>
            </w:pPr>
            <w:r>
              <w:rPr>
                <w:rFonts w:ascii="標楷體" w:eastAsia="標楷體" w:hAnsi="標楷體"/>
              </w:rPr>
              <w:t>6.一般事務費：除現行法律明文規定支出不刪外，其餘統刪 5%，其中總統府 、主計總處、國家發展委員會、公平交易委員會、國家通訊傳播委員會、大陸委員會、公共工程委員會、立法院、司法院、最高法院、最高行政法院、臺北高等行政法院、臺中高等行政法院、高雄高等行政法院、懲戒法院、法官學院、智慧財產及商業法院、臺灣高等法院、臺灣高等法院臺中分院、臺灣高等法院臺南分院、臺灣高等法院高雄分院、臺灣高等法院花蓮分院、臺灣臺北地方法院、臺灣士林地方法院、臺灣新北地方法院、臺灣桃園地方法院、臺灣新竹地方法院、臺灣苗栗地方法院、臺灣臺中地方法院、臺灣南投地方法院、臺灣彰化地方法院、臺灣雲林地方法院、臺灣嘉義地方法院、臺灣臺南地方法院、臺灣橋頭地方法院、臺</w:t>
            </w:r>
            <w:r>
              <w:rPr>
                <w:rFonts w:ascii="標楷體" w:eastAsia="標楷體" w:hAnsi="標楷體"/>
              </w:rPr>
              <w:lastRenderedPageBreak/>
              <w:t>灣高雄地方法院、臺灣屏東地方法院、臺灣臺東地方法院、臺灣花蓮地方法院、臺灣宜蘭地方法院、臺灣基隆地方法院、臺灣澎湖地方法院、臺灣高雄少年及家事法院、福建高等法院金門分院、福建金門地方法院、福建連江地方法院、考試院、銓敘部、審計部、審計部臺北市審計處、審計部新北市審計處、審計部桃園市審計處、審計部臺中市審計處、審計部臺南市審計處、審計部高雄市審計處、營建署及所屬、警政署及所屬、中央警察大學、消防 署及所屬、役政署、移民署、空中勤務總隊、外交部、國防部、國防部所 屬、財政部、國庫署、臺北國稅局、高雄國稅局、北區國稅局及所屬、中區國稅局及所屬、南區國稅局及所屬、關務署及所屬、國有財產署及所屬、財政資訊中心、國家圖書館、國立公共資訊圖書館、國立教育廣播電臺 、國家教育研究院、法務部、司法官學院、法醫研究所、廉政署、矯正署及所屬、行政執行署及所屬、最高檢察署、臺灣高等檢察署、臺灣高等檢 察署臺中檢察分署、臺灣高等檢察署臺南檢察分署、臺灣高等檢察署高雄 檢察分署、臺灣高等檢察署花蓮檢察分署、臺灣高等檢察署智慧財產檢察 分署、臺灣臺北地方檢察署、臺灣士林地方檢察署、臺灣新北地方檢察署、臺灣桃園地方檢察署、臺灣新竹地方檢察署、臺灣苗栗地方檢察署、臺灣臺中地方檢察署、臺灣南投地方檢察署、臺灣彰化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 察署、福建連江地方檢察署、調查局、經濟部、標準檢驗局及所屬、中小企業處、加工出口區管理處及所屬、中央地質調查所、交通部、民用航空局、中央氣象局、觀光局及所屬、公路總局及所屬、鐵道局及所屬、原子能委員會、輻射偵測中心、放射性物料管理局、農業委員會、水土保持局、家畜衛生試驗所、臺南區農業改良場、花蓮區農業改良場、漁業署及所屬、動植物防疫檢疫局及所屬、農業</w:t>
            </w:r>
            <w:r>
              <w:rPr>
                <w:rFonts w:ascii="標楷體" w:eastAsia="標楷體" w:hAnsi="標楷體"/>
              </w:rPr>
              <w:lastRenderedPageBreak/>
              <w:t>金融局、農糧署及所屬、農田水利署、中央健康保險署、毒物及化學物質局、新竹科學園區管理局、中部科學園區管理局、金融監督管理委員會、銀行局、證券期貨局、保險局、檢查局、海洋委員會、海巡署及所屬、海洋保育署、國家海洋研究院改以其他 項目刪減替代，科目自行調整。</w:t>
            </w:r>
          </w:p>
          <w:p w:rsidR="008620A4" w:rsidRDefault="00AF720C">
            <w:pPr>
              <w:pStyle w:val="Standard"/>
              <w:ind w:left="240" w:hanging="240"/>
              <w:jc w:val="both"/>
              <w:rPr>
                <w:rFonts w:ascii="標楷體" w:eastAsia="標楷體" w:hAnsi="標楷體"/>
              </w:rPr>
            </w:pPr>
            <w:r>
              <w:rPr>
                <w:rFonts w:ascii="標楷體" w:eastAsia="標楷體" w:hAnsi="標楷體"/>
              </w:rPr>
              <w:t>7.媒體政策及業務宣導費：除農業委員會動植物防疫檢疫局及所屬、衛生福利部疾病管制署不刪外；總統府主管、國立故宮博物院、檔案管理局、原住民族文化發展中心、中央選舉委員會及所屬、促進轉型正義委員會、不當黨產處理委員會、考試院主管、勞動部主管、原子能委員會主管、環境 保護署主管、科技部主管、海洋委員會主管、國軍退除役官兵輔導委員會 主管統刪 5%；行政院、主計總處、國家發展委員會、原住民族委員會、大陸委員會、內政部主管、財政部主管、法務部主管、僑務委員會主管統刪 28%；司法院主管統刪 30％；客家委員會及所屬、外交部主管、國防部主管、教育部主管、經濟部主管、交通部主管、農業委員會主管(不含動植物防疫檢疫局及所屬)、衛生福利部主管(不含疾病管制署)、文化部主管統刪 35%。</w:t>
            </w:r>
          </w:p>
          <w:p w:rsidR="008620A4" w:rsidRDefault="00AF720C">
            <w:pPr>
              <w:pStyle w:val="Standard"/>
              <w:ind w:left="240" w:hanging="240"/>
              <w:jc w:val="both"/>
              <w:rPr>
                <w:rFonts w:ascii="標楷體" w:eastAsia="標楷體" w:hAnsi="標楷體"/>
              </w:rPr>
            </w:pPr>
            <w:r>
              <w:rPr>
                <w:rFonts w:ascii="標楷體" w:eastAsia="標楷體" w:hAnsi="標楷體"/>
              </w:rPr>
              <w:t>8.設備及投資：除現行法律明文規定支出及資產作價投資不刪外，其餘統刪 6%，其中大陸委員會、立法院、司法院、最高法院、最高行政法院、臺北 高等行政法院、臺中高等行政法院、高雄高等行政法院、懲戒法院、法官學院、智慧財產及商業法院、臺灣高等法院、臺灣高等法院臺中分院、臺灣高等法院臺南分院、臺灣高等法院高雄分院、臺灣高等法院花蓮分院、臺灣士林地方法院、臺灣新北地方法院、臺灣桃園地方法院、臺灣新竹地方法院、臺灣苗栗地方法院、臺灣臺中地方法院、臺灣南投地方法院、臺灣彰化地方法院、臺灣雲林地方法院、臺灣嘉義地方法院、臺灣臺南地方 法院、臺灣橋頭地方法院、臺灣高雄地方法院、臺灣屏東地方法院、臺灣臺東地方法院、臺灣花蓮地方法院、臺灣宜蘭地方法院、臺灣基隆地方法院、臺灣澎湖地方法院、臺灣高雄少年及家事法院、福建高等法院金門分院、福建金門地方法院、福建連江地方法院、監察院、審</w:t>
            </w:r>
            <w:r>
              <w:rPr>
                <w:rFonts w:ascii="標楷體" w:eastAsia="標楷體" w:hAnsi="標楷體"/>
              </w:rPr>
              <w:lastRenderedPageBreak/>
              <w:t>計部臺北市審計處、審計部新北市審計處、審計  部桃園市審計處、審計部臺中市審計處、審計部臺南市審計處、審計部高雄市審計處、役政署、建築研究所、外交及國際事務學院、財政部、國庫署、賦稅署、臺北國稅局、南區國稅局及 所屬、財政資訊中心、國家圖書館、國立公共資訊圖書館、國立教育廣播 電臺、國家教育研究院、法務部、司法官學院、法醫研究所、廉政署、最 高檢察署、臺灣高等檢察署、臺灣高等檢察署臺中檢察分署、臺灣高等檢察署臺南檢察分署、臺灣高等檢察署高雄檢察分署、臺灣高等檢察署花蓮 檢察分署、臺灣高等檢察署智慧財產檢察分署、臺灣臺北地方檢察署、臺灣士林地方檢察署、臺灣新北地方檢察署、臺灣桃園地方檢察署、臺灣新竹地方檢察署、臺灣苗栗地方檢察署、臺灣南投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經濟部、工業局、標準檢驗局及所屬、中小企業處、加工出口區管理處及所屬、交通部、勞動部、農業委員會、農糧署及所屬、海洋委員會、海洋保育署、國家海洋研究院改以其他項目刪減替代，科目自行調整。</w:t>
            </w:r>
          </w:p>
          <w:p w:rsidR="008620A4" w:rsidRDefault="00AF720C">
            <w:pPr>
              <w:pStyle w:val="Standard"/>
              <w:ind w:left="360" w:hanging="360"/>
              <w:jc w:val="both"/>
              <w:rPr>
                <w:rFonts w:ascii="標楷體" w:eastAsia="標楷體" w:hAnsi="標楷體"/>
              </w:rPr>
            </w:pPr>
            <w:r>
              <w:rPr>
                <w:rFonts w:ascii="標楷體" w:eastAsia="標楷體" w:hAnsi="標楷體"/>
              </w:rPr>
              <w:t xml:space="preserve"> 9.對國內團體之捐助及政府機關間之補助：除現行法律明文規定支出不刪外 ，其餘統刪 5%，其中客家委員會及所屬、大陸委員會、內政部、營建署及所屬、消防署及所屬、體育署、標準檢驗局及所屬、交通部、觀光局及所屬、公路總局及所屬、核能研究所、農業委員會、水土保持局、漁業署及所屬、動植物防疫檢疫局及所屬、環境保護署、新竹科學園區管理局、中部科學園區管理局、海洋委員會、海洋保育署改以其他項目刪減替代，科目自行調整。</w:t>
            </w:r>
          </w:p>
          <w:p w:rsidR="008620A4" w:rsidRDefault="00AF720C">
            <w:pPr>
              <w:pStyle w:val="Standard"/>
              <w:ind w:left="360" w:hanging="360"/>
              <w:jc w:val="both"/>
            </w:pPr>
            <w:r>
              <w:rPr>
                <w:rFonts w:ascii="標楷體" w:eastAsia="標楷體" w:hAnsi="標楷體"/>
              </w:rPr>
              <w:t>10.對地方政府之補助：除現行法律明文規定支出及一般性補助款不刪外，其餘統刪 4%，其中役政署、教育部、公路總局及所屬、鐵道局及所屬、</w:t>
            </w:r>
            <w:r>
              <w:rPr>
                <w:rFonts w:ascii="標楷體" w:eastAsia="標楷體" w:hAnsi="標楷體"/>
              </w:rPr>
              <w:lastRenderedPageBreak/>
              <w:t>動 植物防疫檢疫局及所屬、海洋委員會、海洋</w:t>
            </w:r>
            <w:r>
              <w:rPr>
                <w:rFonts w:ascii="標楷體" w:eastAsia="標楷體" w:hAnsi="標楷體"/>
                <w:lang w:eastAsia="zh-HK"/>
              </w:rPr>
              <w:t>保</w:t>
            </w:r>
            <w:r>
              <w:rPr>
                <w:rFonts w:ascii="標楷體" w:eastAsia="標楷體" w:hAnsi="標楷體"/>
              </w:rPr>
              <w:t>育署改以其他項目刪減替代 ，科目自行調整。</w:t>
            </w:r>
          </w:p>
          <w:p w:rsidR="008620A4" w:rsidRDefault="008620A4">
            <w:pPr>
              <w:pStyle w:val="Standard"/>
              <w:ind w:left="360" w:hanging="360"/>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有鑑於網路社群媒體具有快速傳播特性，各行政機關陸續採取新媒體經營與運用，直接與社會大眾溝通政策及宣導。近年來政府時有挾龐大預算資源於 網絡社群平台進行非廣告形式宣傳與澄清之情事，立法院遂於 110 年三讀通過修正預算法第 62 條之 1條文，目的為將政府於四大媒體（平面媒體、廣播 媒體、網路媒體及電視媒體）執行政策宣導時，也能同時納入預算法的規範。行政院主計總處於修法通過後，雖於預算書中增設宣導經費專屬預算科目，並新增媒體政策及業務宣導經費彙計表，然卻將宣導方式限定為於四大媒體所辦理，過去各機關辦理活動、說明會、園遊會或發放各式宣導品之方式，不再納入政策宣導規範。爰此，為利立法院能明確掌握各機關編列政策宣導之實際預算，要求行政院主計總處：1.各機關辦理活動、說明會、園遊會 或發放各式宣導品等，應明確揭示辦理或贊助機關名稱，以避免產生置入性行銷之疑慮。2.各機關於四大媒體上處理政策及業務宣導之相關工作者（即小編人力），以委外或勞務承攬方式辦理之經費，應納入政策及業務宣導費彙計表表達，以利預算之呈現。</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 xml:space="preserve">111 年度中央政府總預算案歲出編列2兆2,621億元，其中依法律義務必須編列之支出1兆5,262億元，占歲出總額之 67.47%，比重近七成，且 111 年度 較 110年度增加129.76 億元，對歲出結構與其他新興計畫額度有重大關聯性，因分散於各機關預算內，並未於總預算案總說明及主要附表列表揭露，如直接於中央政府總預算案總說明附表中列表揭露，將使歲出資訊更公開透明，且立法院審議 107年度中央政府總預算案時曾作成通案決議(十三)：「… …行政院所稱依法律義務之支出，……，應明確界定歸屬該項支出之定義範疇，並於各年度中央政府總預算案中詳實彙核列表揭露其項目、金額與依據，以利審議。」行政院應於112年度中央政府總預算案附表中列明法律義務支出之項目、金額、預算編列機關、依據等資料，俾利預算審議之參考。 </w:t>
            </w:r>
          </w:p>
          <w:p w:rsidR="008620A4" w:rsidRDefault="00AF720C">
            <w:pPr>
              <w:pStyle w:val="Standard"/>
              <w:jc w:val="both"/>
              <w:rPr>
                <w:rFonts w:ascii="標楷體" w:eastAsia="標楷體" w:hAnsi="標楷體"/>
              </w:rPr>
            </w:pPr>
            <w:r>
              <w:rPr>
                <w:rFonts w:ascii="標楷體" w:eastAsia="標楷體" w:hAnsi="標楷體"/>
              </w:rPr>
              <w:lastRenderedPageBreak/>
              <w:t>111 年度中央政府總預算案修正案預計自 111 年 1 月 1 日起調增軍公教人員待遇 4%，係依行政院 110 年 10 月 28 日發布「蘇揆：與全民共享經濟成果亦盼帶動民間企業調薪」新聞稿說明略以：「……在臺灣經濟創 11 年來新高且稅收增加的情況下，為了讓全民共享經濟成長的果實，因此政院今天通過自明 （111）年 1 月 1 日起，全體軍公教人員調薪 4%，是 25 年來最高調幅，希望藉此進一步帶動民間企業調薪。」惟前一次（107年度）軍公教人員調薪 3% ，竟發生高階公務人員調薪高達 7%。茲為確保基層軍公教人員調薪4%，111 年度軍公教人員調薪應一律採調薪4%。</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依照立法院 110 年 12 月 24 日各黨團朝野協商的共識，各黨團同意 111 年度 中央政府總預算案（公務預算部分），至遲於 111 年 1 月 28 日以前完成三讀程序，並不提出復議。而 111 年度中央政府總預算案中，其中包含調整軍公教人員薪資待遇（中央政府部分 163 億元）、受雇勞工育嬰留職停薪津貼加給補助（47.89億元）、辦理產檢假薪資補助（3.62億元）等新增計畫，因總預算案三讀日期與春節連續假期相當接近，請行政院人事行政總處、行政院主計總處、財政部國庫署及相關部會，預先各自主管法規及行政作業提前準備（例如：全國軍公教員工待遇支給要點、中央政府總預算統籌科目經費核定動支數額通知單及各機關付款憑單等），以利各項發放作業順利。</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2020東京奧運我國代表團於 110 年 7 月 19 日搭中華航空公司包機出國，選手被安排搭經濟艙，相關行政人員卻搭乘商務艙，引發國人譁然。依現行國外出差旅費報支要點規定，部長級人員、特使，得乘坐頭等座（艙）位。次長 級人員、大使、駐外代表、公使、其他特任（派）人員、簡任第十二職等以上領有各該職等全額主管加給人員，得乘坐商務或相當之座（艙）位。但次長級人員負有外交任務代表政府出訪或參加重要國際會議，得乘坐頭等座（ 艙）位。其餘人員乘坐經濟（標準）座（艙）位。鑑於國家財政困窘，行政院應鼓勵公務人員應以身作則，本節約原則之支用經費，爰應請行政院於1個月內就搭乘旅途遠近，及實際情形檢討現行國</w:t>
            </w:r>
            <w:r>
              <w:rPr>
                <w:rFonts w:ascii="標楷體" w:eastAsia="標楷體" w:hAnsi="標楷體"/>
              </w:rPr>
              <w:lastRenderedPageBreak/>
              <w:t>外出差旅費報支要點規定，以符社會之期待。</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有鑑於農藥生產及使用，所衍生環境汙染及農藥殘留諸多問題，嚴重威脅生 態環境與人類健康，聯合國於 2017 年 1 月 24 日發表食物權問題特別報告（ Report of the Special Rapporteur on the right to food），報告中強調免於農藥毒害，為人類應有之基本人權，並將之列入第 34 屆人權理事會議議程。指出農藥長期累積之毒素，使得罹患癌症、阿茲海默症、帕金森氏症、內分泌失調、發展失調、基因突變及不孕症等人數與日俱增，世界各國因應減少農藥危害趨勢，紛紛提出相關政策，如歐盟提出為達到農藥永續使用架構（2009/128/EC）指令，要求會員國設置量化目標、對象、方法、時間表、指標等，惟農藥造成環境毒性影響及食物飲水殘留等，與國人健康息息相關，影響甚鉅，爰此，行政院應督導行政院農業委員會、衛生福利部、行政院環境保護署等相關單位正視並整合有關農藥管理制度等跨部會相關系統管理與監測作為及權責分工業務等精進方案，並於 3 個月內向立法院相關委員會提出書面報告。</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根據內政部警政署統計，除110年度因為疫情影響外，自106年度起，全國毒品查獲件數、嫌疑犯人數看似減少，但毒品查獲重量卻大幅成長，且居高 不下，顯見毒品交易情形日益嚴重。又加上近年來加密虛擬貨幣興起且種類繁多，各有不同的特性，以致於被不法人士拿來做為吸金、毒品交易的支付26 工具。例如：泰達幣（Tether）又稱 USDT，其特性為每一元泰達幣都有一美元擔保，亦即擁有多少泰達幣等同有同價位美元，犯罪者利用此一特性，再 透過幣託中心交易虛擬貨幣，即可完成鉅額毒品買賣。由於在幣託中心透過人頭帳戶分多層轉出，即便調查人員也無法完整查出最終的主嫌，許多被利用來做毒品交易的年輕人，被捕落網後雖配合調查供出案情以求減刑，但往往到判決書下來時已被處以私刑失去生命。爰此，請行政院指示相關部會就毒品交易利用上述新興犯罪模式，拿出有效防制作為及加強相關法律規範，並由法務部於6個月內向立法院提出相關進度檢討書面報告。</w:t>
            </w:r>
          </w:p>
          <w:p w:rsidR="008620A4" w:rsidRDefault="008620A4">
            <w:pPr>
              <w:pStyle w:val="Standard"/>
              <w:jc w:val="both"/>
              <w:rPr>
                <w:rFonts w:ascii="標楷體" w:eastAsia="標楷體" w:hAnsi="標楷體"/>
              </w:rPr>
            </w:pPr>
          </w:p>
          <w:p w:rsidR="008620A4" w:rsidRDefault="00AF720C">
            <w:pPr>
              <w:pStyle w:val="Standard"/>
              <w:ind w:firstLine="3120"/>
              <w:jc w:val="both"/>
              <w:rPr>
                <w:rFonts w:ascii="標楷體" w:eastAsia="標楷體" w:hAnsi="標楷體"/>
              </w:rPr>
            </w:pPr>
            <w:r>
              <w:rPr>
                <w:rFonts w:ascii="標楷體" w:eastAsia="標楷體" w:hAnsi="標楷體"/>
              </w:rPr>
              <w:lastRenderedPageBreak/>
              <w:t>單位：件、人、公克</w:t>
            </w:r>
          </w:p>
          <w:tbl>
            <w:tblPr>
              <w:tblW w:w="5454" w:type="dxa"/>
              <w:tblLayout w:type="fixed"/>
              <w:tblCellMar>
                <w:left w:w="10" w:type="dxa"/>
                <w:right w:w="10" w:type="dxa"/>
              </w:tblCellMar>
              <w:tblLook w:val="0000" w:firstRow="0" w:lastRow="0" w:firstColumn="0" w:lastColumn="0" w:noHBand="0" w:noVBand="0"/>
            </w:tblPr>
            <w:tblGrid>
              <w:gridCol w:w="921"/>
              <w:gridCol w:w="1276"/>
              <w:gridCol w:w="1418"/>
              <w:gridCol w:w="1839"/>
            </w:tblGrid>
            <w:tr w:rsidR="008620A4">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8620A4">
                  <w:pPr>
                    <w:pStyle w:val="Standard"/>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both"/>
                    <w:rPr>
                      <w:rFonts w:ascii="標楷體" w:eastAsia="標楷體" w:hAnsi="標楷體"/>
                    </w:rPr>
                  </w:pPr>
                  <w:r>
                    <w:rPr>
                      <w:rFonts w:ascii="標楷體" w:eastAsia="標楷體" w:hAnsi="標楷體"/>
                    </w:rPr>
                    <w:t>全國查獲件數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both"/>
                    <w:rPr>
                      <w:rFonts w:ascii="標楷體" w:eastAsia="標楷體" w:hAnsi="標楷體"/>
                    </w:rPr>
                  </w:pPr>
                  <w:r>
                    <w:rPr>
                      <w:rFonts w:ascii="標楷體" w:eastAsia="標楷體" w:hAnsi="標楷體"/>
                    </w:rPr>
                    <w:t>全國嫌疑犯人數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both"/>
                    <w:rPr>
                      <w:rFonts w:ascii="標楷體" w:eastAsia="標楷體" w:hAnsi="標楷體"/>
                    </w:rPr>
                  </w:pPr>
                  <w:r>
                    <w:rPr>
                      <w:rFonts w:ascii="標楷體" w:eastAsia="標楷體" w:hAnsi="標楷體"/>
                    </w:rPr>
                    <w:t>全國查獲重量(公克)</w:t>
                  </w:r>
                </w:p>
              </w:tc>
            </w:tr>
            <w:tr w:rsidR="008620A4">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both"/>
                  </w:pPr>
                  <w:r>
                    <w:rPr>
                      <w:rFonts w:ascii="標楷體" w:eastAsia="標楷體" w:hAnsi="標楷體"/>
                    </w:rPr>
                    <w:t>106</w:t>
                  </w:r>
                  <w:r>
                    <w:rPr>
                      <w:rFonts w:ascii="標楷體" w:eastAsia="標楷體" w:hAnsi="標楷體"/>
                      <w:lang w:eastAsia="zh-HK"/>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 xml:space="preserve">58,515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62,644</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9,685,469</w:t>
                  </w:r>
                </w:p>
              </w:tc>
            </w:tr>
            <w:tr w:rsidR="008620A4">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both"/>
                  </w:pPr>
                  <w:r>
                    <w:rPr>
                      <w:rFonts w:ascii="標楷體" w:eastAsia="標楷體" w:hAnsi="標楷體"/>
                    </w:rPr>
                    <w:t>107</w:t>
                  </w:r>
                  <w:r>
                    <w:rPr>
                      <w:rFonts w:ascii="標楷體" w:eastAsia="標楷體" w:hAnsi="標楷體"/>
                      <w:lang w:eastAsia="zh-HK"/>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 xml:space="preserve">55,480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59,106</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20,596,643</w:t>
                  </w:r>
                </w:p>
              </w:tc>
            </w:tr>
            <w:tr w:rsidR="008620A4">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both"/>
                  </w:pPr>
                  <w:r>
                    <w:rPr>
                      <w:rFonts w:ascii="標楷體" w:eastAsia="標楷體" w:hAnsi="標楷體"/>
                    </w:rPr>
                    <w:t>108</w:t>
                  </w:r>
                  <w:r>
                    <w:rPr>
                      <w:rFonts w:ascii="標楷體" w:eastAsia="標楷體" w:hAnsi="標楷體"/>
                      <w:lang w:eastAsia="zh-HK"/>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 xml:space="preserve">47,035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49,131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15,929,366</w:t>
                  </w:r>
                </w:p>
              </w:tc>
            </w:tr>
            <w:tr w:rsidR="008620A4">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both"/>
                  </w:pPr>
                  <w:r>
                    <w:rPr>
                      <w:rFonts w:ascii="標楷體" w:eastAsia="標楷體" w:hAnsi="標楷體"/>
                    </w:rPr>
                    <w:t>109</w:t>
                  </w:r>
                  <w:r>
                    <w:rPr>
                      <w:rFonts w:ascii="標楷體" w:eastAsia="標楷體" w:hAnsi="標楷體"/>
                      <w:lang w:eastAsia="zh-HK"/>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 xml:space="preserve">45,489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47,779</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13,305,709</w:t>
                  </w:r>
                </w:p>
              </w:tc>
            </w:tr>
            <w:tr w:rsidR="008620A4">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both"/>
                  </w:pPr>
                  <w:r>
                    <w:rPr>
                      <w:rFonts w:ascii="標楷體" w:eastAsia="標楷體" w:hAnsi="標楷體"/>
                    </w:rPr>
                    <w:t>110</w:t>
                  </w:r>
                  <w:r>
                    <w:rPr>
                      <w:rFonts w:ascii="標楷體" w:eastAsia="標楷體" w:hAnsi="標楷體"/>
                      <w:lang w:eastAsia="zh-HK"/>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 xml:space="preserve">38,827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41,292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0A4" w:rsidRDefault="00AF720C">
                  <w:pPr>
                    <w:pStyle w:val="Standard"/>
                    <w:jc w:val="right"/>
                    <w:rPr>
                      <w:rFonts w:ascii="標楷體" w:eastAsia="標楷體" w:hAnsi="標楷體"/>
                    </w:rPr>
                  </w:pPr>
                  <w:r>
                    <w:rPr>
                      <w:rFonts w:ascii="標楷體" w:eastAsia="標楷體" w:hAnsi="標楷體"/>
                    </w:rPr>
                    <w:t>8,283,280</w:t>
                  </w:r>
                </w:p>
              </w:tc>
            </w:tr>
          </w:tbl>
          <w:p w:rsidR="008620A4" w:rsidRDefault="00AF720C">
            <w:pPr>
              <w:pStyle w:val="Standard"/>
              <w:ind w:firstLine="2640"/>
              <w:jc w:val="both"/>
              <w:rPr>
                <w:rFonts w:ascii="標楷體" w:eastAsia="標楷體" w:hAnsi="標楷體"/>
              </w:rPr>
            </w:pPr>
            <w:r>
              <w:rPr>
                <w:rFonts w:ascii="標楷體" w:eastAsia="標楷體" w:hAnsi="標楷體"/>
              </w:rPr>
              <w:t>資料來源：內政部警政署</w:t>
            </w:r>
          </w:p>
          <w:p w:rsidR="008620A4" w:rsidRDefault="008620A4">
            <w:pPr>
              <w:pStyle w:val="Standard"/>
              <w:ind w:firstLine="2640"/>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全球加密貨幣總市值已達2至3兆美元，從 2009 年出現比特幣至今，各類加密貨幣種類眾多可達上千種，然我國至今對於加密貨幣的定義和管理過於保 守，僅僅只是洗錢防制法中，將金融監督管理委員會指定為虛擬資產服務業的防洗錢事務的主管機關，而涉及其他業務相關部分（例如發展及交易糾紛），仍然模糊不清。且金融監督管理委員會對於國內設置多少比特幣ATM？是否有法源可以管理？均無法即時掌握。顯見，我國對於加密貨幣的發展及運用，已經大幅落後國際腳步，但終究得面對新興金融帶來的挑戰。金融監督管理委員會對虛擬通貨洗錢防制面所作之因應作為，雖已於110年6月30日發布虛擬通貨平台及交易業務事業防制洗錢及打擊資恐辦法，並將透過現地及非現地查核，督促本事業落實執行相關措施，惟鑑於虛擬通貨市場之發展迅速，請金融監督管理委員會持續關注國際間對虛擬通貨及其衍生性商品採行之相關監理規範，適時採取相關因應措施，以保護投資人/消費者權益。</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依照財政紀律法所授權訂定的稅式支出評估作業辦法規定，相關法律案送立法院審議前，行政院必須審查通過稅式支出評估，並且業務主管機關必須將 稅式支出評估報告及公聽會會議紀錄送交立法院財政委員會及相關委員會，業務主管機關屢次未依照前開辦法將相關資料與法案併送交立法院（例如延 長當沖降稅的證券交易稅條例），也未同時將評估報告登載於機關網站，無視法令規定，亦不理會立法院長期以來決議的要求。爰此，要求行政院各部會提出涉及租稅減免的法案送立法院審查時，除應確實依照稅式支出評估作業辦法規定外，同時應將相</w:t>
            </w:r>
            <w:r>
              <w:rPr>
                <w:rFonts w:ascii="標楷體" w:eastAsia="標楷體" w:hAnsi="標楷體"/>
              </w:rPr>
              <w:lastRenderedPageBreak/>
              <w:t>關稅式支出評估報告併同修正草案送立法院備查 。</w:t>
            </w:r>
          </w:p>
          <w:p w:rsidR="00B63AC2" w:rsidRDefault="00B63AC2">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為合理監督國營事業捐贈支出，爰要求行政院所屬相關部會主管之國營事業，比照公開發行公司、財團法人等管理機制，應於 1 個月內公布其過去 5 年（106 至 110 年）之所有捐贈明細，並自 111 年度起，每季公布捐贈明細，以昭公信，並提升治理效能。</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中央政府轉投資公私合營事業家數眾多，中央各主管部會派任或推薦至各該事業之董事長、總經理薪資規範，係由各主管部會訂定之，惟各部會所訂該等人員薪資標準規範規定，其中當年度其所支領之非固定收入（如房屋津貼、績效獎金及其他各項獎金等）總額不得超過固定收入（即月支薪 俸、主管加給合計）總額，超過部分一律解繳國庫或繳作投資事業之收益。有鑑於行政院業自78年度起取消公務人員房屋津貼，立法院審議103年度中央政府總預算案決議略以，自104年度起，各財團法人除應比照公務人員取消交通補助費外，亦不得再發放高層主管之房屋津貼。爰此，中央各主管部會應立即修正派任或推薦至各該事業之董事長、總經理薪資標準規範，並取消違法津貼。</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政府轉投資事業 107 年底至 109 年底，分別為 164 家、164家及175家，期 末實際總投資金額 1 兆 652 億 5,518 萬餘元、1 兆 2,871 億 3,722 萬餘元及 1 兆 6,498 億 3,334 萬餘元，其中 21 家轉投資公司連續虧損達3年以上，依立法院預算中心 109 年度中央政府總決算審核報告整體評估報告指出，檢視投資目的達成度之揭露狀況，部分投資機關僅分析虧損原因，部分係說明現行處置狀況，部分則未備註分析，且中央政府特種基金參加民營事業投資管理要點第11條規定：「各基金參加民營事業投資所營事業目標無法達成，或連續3年虧損情況無法改善，應詳加評估檢討，報由主管機關核處。」鑑於政府轉投資家數及數額近年度皆趨增，轉投資事業連續虧損達 3 年以上者高達 21 家，為保障政府權益，行政院應督促各投資機關除於投資前宜妥為評估目的、效益、回收年限及發展目標等事項，並確實檢討投資政策及檢視投資目的之達成情形，以評估繼</w:t>
            </w:r>
            <w:r>
              <w:rPr>
                <w:rFonts w:ascii="標楷體" w:eastAsia="標楷體" w:hAnsi="標楷體"/>
              </w:rPr>
              <w:lastRenderedPageBreak/>
              <w:t>續持有或退場撤回資金，以達到政府監督效果，爰請行政院督導相關主管機關於 3 個月內向立法院相關 委員會提出書面報告。</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預算法第41條第3項規定，政府捐助之財團法人，每年應由各該主管機關 就以前年度投資或捐助之效益評估，併入決算辦理。109年度總決算編製要點規定，各主管機關須於主管決算編製主管機關對各部門捐助財團法人之效益評估表。且政府資訊公開法第 7 條第 1 項第 6 款規定，政府機關除依法限制公開或不予提供者外，應主動公開預算及決算書。惟依立法院預算中心 109 年度中央政府總決算審核報告整體評估報告指出，108 及 109 年度 中央政府各主管機關之單位決算及主管決算之公開情形，各主管機關均有公開單位決算；惟主管決算部分，僅行政院原子能委員會、衛生福利部、文化部、科技部及金融監督管理委員會等 5 個主管機關公開，多數主管機關則未依法公開，致民眾難以知悉主管機關對各部門捐助財團法人之效益評估情形，爰此，行政院應立即依政府資訊公開法規定各主管機關自 110 年度起主動公開主管決算。</w:t>
            </w:r>
          </w:p>
          <w:p w:rsidR="008620A4" w:rsidRDefault="008620A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有鑑於衛生福利部所實施之春節檢疫措施專案，實施迄今已發生數起防疫旅館群聚案件，極有可能造成台灣下一波民眾感染的破口，爰要求衛生福利部應會同交通部訂立防疫旅館之各項標準作業程序，並責成各縣市政府進行督導查核，將查核結果每月定期公布。</w:t>
            </w:r>
          </w:p>
          <w:p w:rsidR="008620A4" w:rsidRDefault="008620A4">
            <w:pPr>
              <w:pStyle w:val="Standard"/>
              <w:jc w:val="both"/>
              <w:rPr>
                <w:rFonts w:ascii="標楷體" w:eastAsia="標楷體" w:hAnsi="標楷體"/>
              </w:rPr>
            </w:pPr>
          </w:p>
          <w:p w:rsidR="008620A4" w:rsidRDefault="00AF720C">
            <w:pPr>
              <w:pStyle w:val="Standard"/>
              <w:jc w:val="both"/>
            </w:pPr>
            <w:r>
              <w:rPr>
                <w:rFonts w:ascii="標楷體" w:eastAsia="標楷體" w:hAnsi="標楷體"/>
                <w:b/>
                <w:lang w:eastAsia="zh-HK"/>
              </w:rPr>
              <w:t xml:space="preserve">二、各組審查決議部分: </w:t>
            </w:r>
          </w:p>
          <w:p w:rsidR="008620A4" w:rsidRDefault="00AF720C">
            <w:pPr>
              <w:pStyle w:val="Standard"/>
              <w:jc w:val="both"/>
              <w:rPr>
                <w:rFonts w:ascii="標楷體" w:eastAsia="標楷體" w:hAnsi="標楷體"/>
              </w:rPr>
            </w:pPr>
            <w:r>
              <w:rPr>
                <w:rFonts w:ascii="標楷體" w:eastAsia="標楷體" w:hAnsi="標楷體"/>
              </w:rPr>
              <w:t>國立公共資訊圖書館（前身為國立臺中圖書館），為因應資訊時代變遷與圖書館功能之轉型，於95年奉行政院核定辦理新館遷建工程計畫，以建構數位圖書館為目標，規劃成為全國公共圖書館之數位資源雲端中心，兼具實體與虛擬服務之數位公共圖書館。經查截至110年7月底止，該館購置數位館藏類別包括一般資料庫、電子書資料庫、電子期刊、數位影音資源、正體中文電子書、數位學習教材及不限儲存形式之全文資料、電子書、影音資料及線上資源等。隨著資訊科技之發展，圖書館服務模式從實體借書服務延伸至數位資訊服務，公共圖書館更</w:t>
            </w:r>
            <w:r>
              <w:rPr>
                <w:rFonts w:ascii="標楷體" w:eastAsia="標楷體" w:hAnsi="標楷體"/>
              </w:rPr>
              <w:lastRenderedPageBreak/>
              <w:t>成為民眾每日上網檢索資訊之重要場域，國立公共資訊圖書館為全國公共圖書館之數位資源雲端中心，近年數位資料使用人次增加，復以受嚴重特殊傳染性肺炎（COVID-19）疫情影響，109年實體入館人數驟降，數位圖書需求提高，允宜針對數位使用者滿意度調查評分較低選項，精進相關服務，以滿足數位讀者之需求，爰請國立公共資訊圖書館於3個月內向立法院教育及文化委員會提出具體改善內容之書面報告。</w:t>
            </w:r>
          </w:p>
          <w:p w:rsidR="008620A4" w:rsidRDefault="008620A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1F6EC4" w:rsidRDefault="001F6EC4">
            <w:pPr>
              <w:pStyle w:val="Standard"/>
              <w:jc w:val="both"/>
              <w:rPr>
                <w:rFonts w:ascii="標楷體" w:eastAsia="標楷體" w:hAnsi="標楷體"/>
              </w:rPr>
            </w:pPr>
          </w:p>
          <w:p w:rsidR="008620A4" w:rsidRDefault="00AF720C">
            <w:pPr>
              <w:pStyle w:val="Standard"/>
              <w:jc w:val="both"/>
              <w:rPr>
                <w:rFonts w:ascii="標楷體" w:eastAsia="標楷體" w:hAnsi="標楷體"/>
              </w:rPr>
            </w:pPr>
            <w:r>
              <w:rPr>
                <w:rFonts w:ascii="標楷體" w:eastAsia="標楷體" w:hAnsi="標楷體"/>
              </w:rPr>
              <w:t>111年度國立公共資訊圖書館「館務業務活動」科目編列3,018萬2千元。由於數位資訊科技之快速發展，數位出版、數位閱讀環境及數位閱讀載具均已為成熟之技術或產品，使得數位閱讀成為漸普遍之閱讀行為。由公共資訊圖書館 106 至 109 年度數位資料使用統計觀之（詳附表），網站造訪人次由 106 年度630萬1,137人次，逐年增為109年度之810萬 2,995人次；電子書借閱冊數由106年度27萬2,817 冊，逐年增加為109年度之44萬0,639冊。電子資料使用次數 由106年度 297萬5,670次，逐年增為109 年度之361萬8,463次。近年使用數位圖書資訊人次呈增長趨勢。近年數位資料使用人次增加，允宜針對數位使用者滿意度調查評分較低選項，精進相關服務，以滿足數位讀者之需求。請國立公共資訊圖書館於3個月內向立法院教育及文化委員會提出書面報告。</w:t>
            </w:r>
          </w:p>
          <w:p w:rsidR="000773A8" w:rsidRDefault="000773A8">
            <w:pPr>
              <w:pStyle w:val="Standard"/>
              <w:jc w:val="both"/>
              <w:rPr>
                <w:rFonts w:ascii="標楷體" w:eastAsia="標楷體" w:hAnsi="標楷體"/>
              </w:rPr>
            </w:pPr>
          </w:p>
          <w:p w:rsidR="000773A8" w:rsidRDefault="000773A8">
            <w:pPr>
              <w:pStyle w:val="Standard"/>
              <w:jc w:val="both"/>
              <w:rPr>
                <w:rFonts w:ascii="標楷體" w:eastAsia="標楷體" w:hAnsi="標楷體"/>
              </w:rPr>
            </w:pPr>
          </w:p>
          <w:p w:rsidR="000773A8" w:rsidRDefault="000773A8">
            <w:pPr>
              <w:pStyle w:val="Standard"/>
              <w:jc w:val="both"/>
              <w:rPr>
                <w:rFonts w:ascii="標楷體" w:eastAsia="標楷體" w:hAnsi="標楷體"/>
              </w:rPr>
            </w:pPr>
          </w:p>
          <w:p w:rsidR="000773A8" w:rsidRDefault="000773A8">
            <w:pPr>
              <w:pStyle w:val="Standard"/>
              <w:jc w:val="both"/>
              <w:rPr>
                <w:rFonts w:ascii="標楷體" w:eastAsia="標楷體" w:hAnsi="標楷體"/>
              </w:rPr>
            </w:pPr>
          </w:p>
          <w:p w:rsidR="000773A8" w:rsidRDefault="000773A8">
            <w:pPr>
              <w:pStyle w:val="Standard"/>
              <w:jc w:val="both"/>
              <w:rPr>
                <w:rFonts w:ascii="標楷體" w:eastAsia="標楷體" w:hAnsi="標楷體"/>
              </w:rPr>
            </w:pPr>
          </w:p>
          <w:p w:rsidR="008620A4" w:rsidRDefault="00AF720C">
            <w:pPr>
              <w:pStyle w:val="Standard"/>
              <w:jc w:val="both"/>
              <w:rPr>
                <w:rFonts w:ascii="標楷體" w:eastAsia="標楷體" w:hAnsi="標楷體"/>
                <w:sz w:val="16"/>
                <w:szCs w:val="16"/>
              </w:rPr>
            </w:pPr>
            <w:r>
              <w:rPr>
                <w:rFonts w:ascii="標楷體" w:eastAsia="標楷體" w:hAnsi="標楷體"/>
                <w:sz w:val="16"/>
                <w:szCs w:val="16"/>
              </w:rPr>
              <w:lastRenderedPageBreak/>
              <w:t xml:space="preserve">附表 106 至 109 年度入館人數、借閱冊(件)數及電子資料使用次數統計表 </w:t>
            </w:r>
          </w:p>
          <w:p w:rsidR="008620A4" w:rsidRDefault="00AF720C">
            <w:pPr>
              <w:pStyle w:val="Standard"/>
              <w:ind w:firstLine="3840"/>
              <w:jc w:val="both"/>
              <w:rPr>
                <w:rFonts w:ascii="標楷體" w:eastAsia="標楷體" w:hAnsi="標楷體"/>
                <w:sz w:val="16"/>
                <w:szCs w:val="16"/>
              </w:rPr>
            </w:pPr>
            <w:r>
              <w:rPr>
                <w:rFonts w:ascii="標楷體" w:eastAsia="標楷體" w:hAnsi="標楷體"/>
                <w:sz w:val="16"/>
                <w:szCs w:val="16"/>
              </w:rPr>
              <w:t>單位：人次；冊；次</w:t>
            </w:r>
          </w:p>
          <w:tbl>
            <w:tblPr>
              <w:tblW w:w="5454" w:type="dxa"/>
              <w:jc w:val="center"/>
              <w:tblLayout w:type="fixed"/>
              <w:tblCellMar>
                <w:left w:w="10" w:type="dxa"/>
                <w:right w:w="10" w:type="dxa"/>
              </w:tblCellMar>
              <w:tblLook w:val="0000" w:firstRow="0" w:lastRow="0" w:firstColumn="0" w:lastColumn="0" w:noHBand="0" w:noVBand="0"/>
            </w:tblPr>
            <w:tblGrid>
              <w:gridCol w:w="638"/>
              <w:gridCol w:w="709"/>
              <w:gridCol w:w="992"/>
              <w:gridCol w:w="992"/>
              <w:gridCol w:w="992"/>
              <w:gridCol w:w="1131"/>
            </w:tblGrid>
            <w:tr w:rsidR="008620A4">
              <w:trPr>
                <w:trHeight w:val="344"/>
                <w:jc w:val="center"/>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center"/>
                    <w:rPr>
                      <w:rFonts w:ascii="標楷體" w:eastAsia="標楷體" w:hAnsi="標楷體"/>
                      <w:sz w:val="16"/>
                      <w:szCs w:val="16"/>
                    </w:rPr>
                  </w:pPr>
                  <w:r>
                    <w:rPr>
                      <w:rFonts w:ascii="標楷體" w:eastAsia="標楷體" w:hAnsi="標楷體"/>
                      <w:sz w:val="16"/>
                      <w:szCs w:val="16"/>
                    </w:rPr>
                    <w:t>入館類型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center"/>
                  </w:pPr>
                  <w:r>
                    <w:rPr>
                      <w:rFonts w:ascii="標楷體" w:eastAsia="標楷體" w:hAnsi="標楷體"/>
                      <w:sz w:val="16"/>
                      <w:szCs w:val="16"/>
                    </w:rPr>
                    <w:t>106</w:t>
                  </w:r>
                  <w:r>
                    <w:rPr>
                      <w:rFonts w:ascii="標楷體" w:eastAsia="標楷體" w:hAnsi="標楷體"/>
                      <w:sz w:val="16"/>
                      <w:szCs w:val="16"/>
                      <w:lang w:eastAsia="zh-HK"/>
                    </w:rPr>
                    <w:t>年度</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center"/>
                  </w:pPr>
                  <w:r>
                    <w:rPr>
                      <w:rFonts w:ascii="標楷體" w:eastAsia="標楷體" w:hAnsi="標楷體"/>
                      <w:sz w:val="16"/>
                      <w:szCs w:val="16"/>
                    </w:rPr>
                    <w:t>107</w:t>
                  </w:r>
                  <w:r>
                    <w:rPr>
                      <w:rFonts w:ascii="標楷體" w:eastAsia="標楷體" w:hAnsi="標楷體"/>
                      <w:sz w:val="16"/>
                      <w:szCs w:val="16"/>
                      <w:lang w:eastAsia="zh-HK"/>
                    </w:rPr>
                    <w:t>年度</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center"/>
                  </w:pPr>
                  <w:r>
                    <w:rPr>
                      <w:rFonts w:ascii="標楷體" w:eastAsia="標楷體" w:hAnsi="標楷體"/>
                      <w:sz w:val="16"/>
                      <w:szCs w:val="16"/>
                    </w:rPr>
                    <w:t>108</w:t>
                  </w:r>
                  <w:r>
                    <w:rPr>
                      <w:rFonts w:ascii="標楷體" w:eastAsia="標楷體" w:hAnsi="標楷體"/>
                      <w:sz w:val="16"/>
                      <w:szCs w:val="16"/>
                      <w:lang w:eastAsia="zh-HK"/>
                    </w:rPr>
                    <w:t>年度</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center"/>
                  </w:pPr>
                  <w:r>
                    <w:rPr>
                      <w:rFonts w:ascii="標楷體" w:eastAsia="標楷體" w:hAnsi="標楷體"/>
                      <w:sz w:val="16"/>
                      <w:szCs w:val="16"/>
                    </w:rPr>
                    <w:t>109</w:t>
                  </w:r>
                  <w:r>
                    <w:rPr>
                      <w:rFonts w:ascii="標楷體" w:eastAsia="標楷體" w:hAnsi="標楷體"/>
                      <w:sz w:val="16"/>
                      <w:szCs w:val="16"/>
                      <w:lang w:eastAsia="zh-HK"/>
                    </w:rPr>
                    <w:t>年度</w:t>
                  </w:r>
                </w:p>
              </w:tc>
            </w:tr>
            <w:tr w:rsidR="008620A4">
              <w:trPr>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pPr>
                  <w:r>
                    <w:rPr>
                      <w:rFonts w:ascii="標楷體" w:eastAsia="標楷體" w:hAnsi="標楷體"/>
                      <w:sz w:val="16"/>
                      <w:szCs w:val="16"/>
                      <w:lang w:eastAsia="zh-HK"/>
                    </w:rPr>
                    <w:t>入館人</w:t>
                  </w:r>
                  <w:r>
                    <w:rPr>
                      <w:rFonts w:ascii="標楷體" w:eastAsia="標楷體" w:hAnsi="標楷體"/>
                      <w:sz w:val="16"/>
                      <w:szCs w:val="16"/>
                    </w:rPr>
                    <w:t xml:space="preserve"> </w:t>
                  </w:r>
                  <w:r>
                    <w:rPr>
                      <w:rFonts w:ascii="標楷體" w:eastAsia="標楷體" w:hAnsi="標楷體"/>
                      <w:sz w:val="16"/>
                      <w:szCs w:val="16"/>
                      <w:lang w:eastAsia="zh-HK"/>
                    </w:rPr>
                    <w:t>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rPr>
                      <w:rFonts w:ascii="標楷體" w:eastAsia="標楷體" w:hAnsi="標楷體"/>
                      <w:sz w:val="16"/>
                      <w:szCs w:val="16"/>
                    </w:rPr>
                  </w:pPr>
                  <w:r>
                    <w:rPr>
                      <w:rFonts w:ascii="標楷體" w:eastAsia="標楷體" w:hAnsi="標楷體"/>
                      <w:sz w:val="16"/>
                      <w:szCs w:val="16"/>
                    </w:rPr>
                    <w:t>實體入館人數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2,250,404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2,315,751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2,525,602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1,901,253</w:t>
                  </w:r>
                </w:p>
              </w:tc>
            </w:tr>
            <w:tr w:rsidR="008620A4">
              <w:trPr>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8620A4">
                  <w:pPr>
                    <w:pStyle w:val="Standard"/>
                    <w:jc w:val="both"/>
                    <w:rPr>
                      <w:rFonts w:ascii="標楷體" w:eastAsia="標楷體" w:hAnsi="標楷體"/>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rPr>
                      <w:rFonts w:ascii="標楷體" w:eastAsia="標楷體" w:hAnsi="標楷體"/>
                      <w:sz w:val="16"/>
                      <w:szCs w:val="16"/>
                    </w:rPr>
                  </w:pPr>
                  <w:r>
                    <w:rPr>
                      <w:rFonts w:ascii="標楷體" w:eastAsia="標楷體" w:hAnsi="標楷體"/>
                      <w:sz w:val="16"/>
                      <w:szCs w:val="16"/>
                    </w:rPr>
                    <w:t>網站造訪人次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6,301,137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7,426,020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7,441,280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8,102,995</w:t>
                  </w:r>
                </w:p>
              </w:tc>
            </w:tr>
            <w:tr w:rsidR="008620A4">
              <w:trPr>
                <w:trHeight w:val="419"/>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8620A4">
                  <w:pPr>
                    <w:pStyle w:val="Standard"/>
                    <w:jc w:val="both"/>
                    <w:rPr>
                      <w:rFonts w:ascii="標楷體" w:eastAsia="標楷體" w:hAnsi="標楷體"/>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pPr>
                  <w:r>
                    <w:rPr>
                      <w:rFonts w:ascii="標楷體" w:eastAsia="標楷體" w:hAnsi="標楷體"/>
                      <w:sz w:val="16"/>
                      <w:szCs w:val="16"/>
                      <w:lang w:eastAsia="zh-HK"/>
                    </w:rPr>
                    <w:t>小計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8,551,541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9,741,771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9,966,882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10,004,248</w:t>
                  </w:r>
                </w:p>
              </w:tc>
            </w:tr>
            <w:tr w:rsidR="008620A4">
              <w:trPr>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pPr>
                  <w:r>
                    <w:rPr>
                      <w:rFonts w:ascii="標楷體" w:eastAsia="標楷體" w:hAnsi="標楷體"/>
                      <w:sz w:val="16"/>
                      <w:szCs w:val="16"/>
                      <w:lang w:eastAsia="zh-HK"/>
                    </w:rPr>
                    <w:t>借閱冊(件)數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rPr>
                      <w:rFonts w:ascii="標楷體" w:eastAsia="標楷體" w:hAnsi="標楷體"/>
                      <w:sz w:val="16"/>
                      <w:szCs w:val="16"/>
                    </w:rPr>
                  </w:pPr>
                  <w:r>
                    <w:rPr>
                      <w:rFonts w:ascii="標楷體" w:eastAsia="標楷體" w:hAnsi="標楷體"/>
                      <w:sz w:val="16"/>
                      <w:szCs w:val="16"/>
                    </w:rPr>
                    <w:t>實體館藏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2,340,540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2,410,244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2,596,710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2,729,506</w:t>
                  </w:r>
                </w:p>
              </w:tc>
            </w:tr>
            <w:tr w:rsidR="008620A4">
              <w:trPr>
                <w:trHeight w:val="417"/>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8620A4">
                  <w:pPr>
                    <w:pStyle w:val="Standard"/>
                    <w:jc w:val="both"/>
                    <w:rPr>
                      <w:rFonts w:ascii="標楷體" w:eastAsia="標楷體" w:hAnsi="標楷體"/>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pPr>
                  <w:r>
                    <w:rPr>
                      <w:rFonts w:ascii="標楷體" w:eastAsia="標楷體" w:hAnsi="標楷體"/>
                      <w:sz w:val="16"/>
                      <w:szCs w:val="16"/>
                      <w:lang w:eastAsia="zh-HK"/>
                    </w:rPr>
                    <w:t>電子書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272,817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280,281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328,204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440,639</w:t>
                  </w:r>
                </w:p>
              </w:tc>
            </w:tr>
            <w:tr w:rsidR="008620A4">
              <w:trPr>
                <w:trHeight w:val="409"/>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8620A4">
                  <w:pPr>
                    <w:pStyle w:val="Standard"/>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pPr>
                  <w:r>
                    <w:rPr>
                      <w:rFonts w:ascii="標楷體" w:eastAsia="標楷體" w:hAnsi="標楷體"/>
                      <w:sz w:val="16"/>
                      <w:szCs w:val="16"/>
                      <w:lang w:eastAsia="zh-HK"/>
                    </w:rPr>
                    <w:t>小計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2,613,357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2,690,525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2,924,914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3,170,145</w:t>
                  </w:r>
                </w:p>
              </w:tc>
            </w:tr>
            <w:tr w:rsidR="008620A4">
              <w:trPr>
                <w:jc w:val="center"/>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both"/>
                    <w:rPr>
                      <w:rFonts w:ascii="標楷體" w:eastAsia="標楷體" w:hAnsi="標楷體"/>
                      <w:sz w:val="16"/>
                      <w:szCs w:val="16"/>
                    </w:rPr>
                  </w:pPr>
                  <w:r>
                    <w:rPr>
                      <w:rFonts w:ascii="標楷體" w:eastAsia="標楷體" w:hAnsi="標楷體"/>
                      <w:sz w:val="16"/>
                      <w:szCs w:val="16"/>
                    </w:rPr>
                    <w:t>電子資料使用次數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2,975,670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3,586,744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3,600,067</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0A4" w:rsidRDefault="00AF720C">
                  <w:pPr>
                    <w:pStyle w:val="Standard"/>
                    <w:jc w:val="right"/>
                    <w:rPr>
                      <w:rFonts w:ascii="標楷體" w:eastAsia="標楷體" w:hAnsi="標楷體"/>
                      <w:sz w:val="16"/>
                      <w:szCs w:val="16"/>
                    </w:rPr>
                  </w:pPr>
                  <w:r>
                    <w:rPr>
                      <w:rFonts w:ascii="標楷體" w:eastAsia="標楷體" w:hAnsi="標楷體"/>
                      <w:sz w:val="16"/>
                      <w:szCs w:val="16"/>
                    </w:rPr>
                    <w:t>3,618,463</w:t>
                  </w:r>
                </w:p>
              </w:tc>
            </w:tr>
          </w:tbl>
          <w:p w:rsidR="00E81229" w:rsidRDefault="00E81229" w:rsidP="0072796E">
            <w:pPr>
              <w:pStyle w:val="Standard"/>
              <w:jc w:val="both"/>
              <w:rPr>
                <w:rFonts w:ascii="標楷體" w:eastAsia="標楷體" w:hAnsi="標楷體"/>
                <w:sz w:val="16"/>
                <w:szCs w:val="16"/>
              </w:rPr>
            </w:pPr>
          </w:p>
          <w:p w:rsidR="008620A4" w:rsidRDefault="00AF720C" w:rsidP="0072796E">
            <w:pPr>
              <w:pStyle w:val="Standard"/>
              <w:jc w:val="both"/>
              <w:rPr>
                <w:rFonts w:ascii="標楷體" w:eastAsia="標楷體" w:hAnsi="標楷體"/>
              </w:rPr>
            </w:pPr>
            <w:r>
              <w:rPr>
                <w:rFonts w:ascii="標楷體" w:eastAsia="標楷體" w:hAnsi="標楷體"/>
                <w:sz w:val="16"/>
                <w:szCs w:val="16"/>
              </w:rPr>
              <w:t>資料來源：國立公共資訊圖書館 109 年年報第 158 頁之表 13。</w:t>
            </w:r>
          </w:p>
        </w:tc>
        <w:tc>
          <w:tcPr>
            <w:tcW w:w="4561"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rsidR="008620A4" w:rsidRDefault="00AF720C">
            <w:pPr>
              <w:pStyle w:val="Standard"/>
              <w:spacing w:before="192" w:line="400" w:lineRule="exact"/>
              <w:jc w:val="both"/>
            </w:pPr>
            <w:r>
              <w:rPr>
                <w:rFonts w:ascii="標楷體" w:eastAsia="標楷體" w:hAnsi="標楷體" w:cs="華康楷書體W5外字集"/>
                <w:szCs w:val="24"/>
                <w:lang w:eastAsia="zh-HK"/>
              </w:rPr>
              <w:lastRenderedPageBreak/>
              <w:t>依決議事項辦理。</w:t>
            </w: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AF720C">
            <w:pPr>
              <w:pStyle w:val="Standard"/>
              <w:spacing w:before="336" w:line="400" w:lineRule="exact"/>
              <w:jc w:val="both"/>
            </w:pPr>
            <w:r>
              <w:rPr>
                <w:rFonts w:ascii="標楷體" w:eastAsia="標楷體" w:hAnsi="標楷體" w:cs="華康楷書體W5外字集"/>
                <w:szCs w:val="24"/>
                <w:lang w:eastAsia="zh-HK"/>
              </w:rPr>
              <w:t>依決議事項辦理。</w:t>
            </w: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AF720C">
            <w:pPr>
              <w:pStyle w:val="Standard"/>
              <w:spacing w:before="72"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配合行政院辦理。</w:t>
            </w:r>
          </w:p>
          <w:p w:rsidR="008620A4" w:rsidRDefault="008620A4">
            <w:pPr>
              <w:pStyle w:val="Standard"/>
              <w:spacing w:before="72" w:line="400" w:lineRule="exact"/>
              <w:jc w:val="both"/>
              <w:rPr>
                <w:rFonts w:ascii="標楷體" w:eastAsia="標楷體" w:hAnsi="標楷體" w:cs="華康楷書體W5外字集"/>
                <w:szCs w:val="24"/>
                <w:lang w:eastAsia="zh-HK"/>
              </w:rPr>
            </w:pPr>
          </w:p>
          <w:p w:rsidR="008620A4" w:rsidRDefault="008620A4">
            <w:pPr>
              <w:pStyle w:val="Standard"/>
              <w:spacing w:before="72" w:line="400" w:lineRule="exact"/>
              <w:jc w:val="both"/>
              <w:rPr>
                <w:rFonts w:ascii="標楷體" w:eastAsia="標楷體" w:hAnsi="標楷體" w:cs="華康楷書體W5外字集"/>
                <w:szCs w:val="24"/>
                <w:lang w:eastAsia="zh-HK"/>
              </w:rPr>
            </w:pPr>
          </w:p>
          <w:p w:rsidR="008620A4" w:rsidRDefault="008620A4">
            <w:pPr>
              <w:pStyle w:val="Standard"/>
              <w:spacing w:before="72" w:line="400" w:lineRule="exact"/>
              <w:jc w:val="both"/>
              <w:rPr>
                <w:rFonts w:ascii="標楷體" w:eastAsia="標楷體" w:hAnsi="標楷體" w:cs="華康楷書體W5外字集"/>
                <w:szCs w:val="24"/>
                <w:lang w:eastAsia="zh-HK"/>
              </w:rPr>
            </w:pPr>
          </w:p>
          <w:p w:rsidR="008620A4" w:rsidRDefault="008620A4">
            <w:pPr>
              <w:pStyle w:val="Standard"/>
              <w:spacing w:before="72" w:line="400" w:lineRule="exact"/>
              <w:jc w:val="both"/>
              <w:rPr>
                <w:rFonts w:ascii="標楷體" w:eastAsia="標楷體" w:hAnsi="標楷體" w:cs="華康楷書體W5外字集"/>
                <w:szCs w:val="24"/>
                <w:lang w:eastAsia="zh-HK"/>
              </w:rPr>
            </w:pPr>
          </w:p>
          <w:p w:rsidR="008620A4" w:rsidRDefault="008620A4">
            <w:pPr>
              <w:pStyle w:val="Standard"/>
              <w:spacing w:before="72" w:line="400" w:lineRule="exact"/>
              <w:jc w:val="both"/>
              <w:rPr>
                <w:rFonts w:ascii="標楷體" w:eastAsia="標楷體" w:hAnsi="標楷體" w:cs="華康楷書體W5外字集"/>
                <w:szCs w:val="24"/>
                <w:lang w:eastAsia="zh-HK"/>
              </w:rPr>
            </w:pPr>
          </w:p>
          <w:p w:rsidR="008620A4" w:rsidRDefault="008620A4">
            <w:pPr>
              <w:pStyle w:val="Standard"/>
              <w:spacing w:before="72" w:line="400" w:lineRule="exact"/>
              <w:jc w:val="both"/>
              <w:rPr>
                <w:rFonts w:ascii="標楷體" w:eastAsia="標楷體" w:hAnsi="標楷體" w:cs="華康楷書體W5外字集"/>
                <w:szCs w:val="24"/>
                <w:lang w:eastAsia="zh-HK"/>
              </w:rPr>
            </w:pPr>
          </w:p>
          <w:p w:rsidR="008620A4" w:rsidRDefault="008620A4">
            <w:pPr>
              <w:pStyle w:val="Standard"/>
              <w:spacing w:before="72" w:line="400" w:lineRule="exact"/>
              <w:jc w:val="both"/>
              <w:rPr>
                <w:rFonts w:ascii="標楷體" w:eastAsia="標楷體" w:hAnsi="標楷體" w:cs="華康楷書體W5外字集"/>
                <w:szCs w:val="24"/>
                <w:lang w:eastAsia="zh-HK"/>
              </w:rPr>
            </w:pPr>
          </w:p>
          <w:p w:rsidR="008620A4" w:rsidRDefault="008620A4">
            <w:pPr>
              <w:pStyle w:val="Standard"/>
              <w:spacing w:before="72" w:line="400" w:lineRule="exact"/>
              <w:jc w:val="both"/>
              <w:rPr>
                <w:rFonts w:ascii="標楷體" w:eastAsia="標楷體" w:hAnsi="標楷體" w:cs="華康楷書體W5外字集"/>
                <w:szCs w:val="24"/>
                <w:lang w:eastAsia="zh-HK"/>
              </w:rPr>
            </w:pPr>
          </w:p>
          <w:p w:rsidR="008620A4" w:rsidRDefault="008620A4">
            <w:pPr>
              <w:pStyle w:val="Standard"/>
              <w:spacing w:line="400" w:lineRule="exact"/>
              <w:jc w:val="both"/>
              <w:rPr>
                <w:rFonts w:ascii="標楷體" w:eastAsia="標楷體" w:hAnsi="標楷體" w:cs="華康楷書體W5外字集"/>
                <w:szCs w:val="24"/>
                <w:lang w:eastAsia="zh-HK"/>
              </w:rPr>
            </w:pPr>
          </w:p>
          <w:p w:rsidR="008620A4" w:rsidRDefault="00AF720C">
            <w:pPr>
              <w:pStyle w:val="Standard"/>
              <w:spacing w:line="32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lastRenderedPageBreak/>
              <w:t>依決議事項辦理。</w:t>
            </w:r>
          </w:p>
          <w:p w:rsidR="008620A4" w:rsidRDefault="008620A4">
            <w:pPr>
              <w:pStyle w:val="Standard"/>
              <w:spacing w:before="192" w:line="400" w:lineRule="exact"/>
              <w:jc w:val="both"/>
              <w:rPr>
                <w:rFonts w:ascii="標楷體" w:eastAsia="標楷體" w:hAnsi="標楷體" w:cs="華康楷書體W5外字集"/>
                <w:szCs w:val="24"/>
                <w:lang w:eastAsia="zh-HK"/>
              </w:rPr>
            </w:pPr>
          </w:p>
          <w:p w:rsidR="008620A4" w:rsidRDefault="008620A4">
            <w:pPr>
              <w:pStyle w:val="Standard"/>
              <w:spacing w:before="192" w:line="400" w:lineRule="exact"/>
              <w:jc w:val="both"/>
              <w:rPr>
                <w:rFonts w:ascii="標楷體" w:eastAsia="標楷體" w:hAnsi="標楷體" w:cs="華康楷書體W5外字集"/>
                <w:szCs w:val="24"/>
                <w:lang w:eastAsia="zh-HK"/>
              </w:rPr>
            </w:pPr>
          </w:p>
          <w:p w:rsidR="008620A4" w:rsidRDefault="008620A4">
            <w:pPr>
              <w:pStyle w:val="Standard"/>
              <w:spacing w:before="192" w:line="400" w:lineRule="exact"/>
              <w:jc w:val="both"/>
              <w:rPr>
                <w:rFonts w:ascii="標楷體" w:eastAsia="標楷體" w:hAnsi="標楷體" w:cs="華康楷書體W5外字集"/>
                <w:szCs w:val="24"/>
                <w:lang w:eastAsia="zh-HK"/>
              </w:rPr>
            </w:pPr>
          </w:p>
          <w:p w:rsidR="008620A4" w:rsidRDefault="008620A4">
            <w:pPr>
              <w:pStyle w:val="Standard"/>
              <w:spacing w:before="192" w:line="400" w:lineRule="exact"/>
              <w:jc w:val="both"/>
              <w:rPr>
                <w:rFonts w:ascii="標楷體" w:eastAsia="標楷體" w:hAnsi="標楷體" w:cs="華康楷書體W5外字集"/>
                <w:szCs w:val="24"/>
                <w:lang w:eastAsia="zh-HK"/>
              </w:rPr>
            </w:pPr>
          </w:p>
          <w:p w:rsidR="008620A4" w:rsidRDefault="008620A4">
            <w:pPr>
              <w:pStyle w:val="Standard"/>
              <w:spacing w:before="192" w:line="400" w:lineRule="exact"/>
              <w:jc w:val="both"/>
              <w:rPr>
                <w:rFonts w:ascii="標楷體" w:eastAsia="標楷體" w:hAnsi="標楷體" w:cs="華康楷書體W5外字集"/>
                <w:szCs w:val="24"/>
                <w:lang w:eastAsia="zh-HK"/>
              </w:rPr>
            </w:pPr>
          </w:p>
          <w:p w:rsidR="008620A4" w:rsidRDefault="008620A4">
            <w:pPr>
              <w:pStyle w:val="Standard"/>
              <w:spacing w:before="192" w:line="400" w:lineRule="exact"/>
              <w:jc w:val="both"/>
              <w:rPr>
                <w:rFonts w:ascii="標楷體" w:eastAsia="標楷體" w:hAnsi="標楷體" w:cs="華康楷書體W5外字集"/>
                <w:szCs w:val="24"/>
                <w:lang w:eastAsia="zh-HK"/>
              </w:rPr>
            </w:pPr>
          </w:p>
          <w:p w:rsidR="008620A4" w:rsidRDefault="00AF720C">
            <w:pPr>
              <w:pStyle w:val="Standard"/>
              <w:spacing w:before="112" w:line="360" w:lineRule="exact"/>
              <w:jc w:val="both"/>
            </w:pPr>
            <w:r>
              <w:rPr>
                <w:rFonts w:ascii="標楷體" w:eastAsia="標楷體" w:hAnsi="標楷體" w:cs="華康楷書體W5外字集"/>
                <w:szCs w:val="24"/>
                <w:lang w:eastAsia="zh-HK"/>
              </w:rPr>
              <w:t>依決議事項配合辦理。</w:t>
            </w: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AF720C">
            <w:pPr>
              <w:pStyle w:val="Standard"/>
              <w:spacing w:before="480" w:line="400" w:lineRule="exact"/>
              <w:jc w:val="both"/>
            </w:pPr>
            <w:r>
              <w:rPr>
                <w:rFonts w:ascii="標楷體" w:eastAsia="標楷體" w:hAnsi="標楷體" w:cs="華康楷書體W5外字集"/>
                <w:szCs w:val="24"/>
                <w:lang w:eastAsia="zh-HK"/>
              </w:rPr>
              <w:t>配合行政院辦理。</w:t>
            </w: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AF720C">
            <w:pPr>
              <w:pStyle w:val="Standard"/>
              <w:spacing w:before="520"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lastRenderedPageBreak/>
              <w:t>本項決議無本館應辦理事項。</w:t>
            </w: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AF720C">
            <w:pPr>
              <w:pStyle w:val="Standard"/>
              <w:spacing w:before="420"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本項決議無本館應辦理事項。</w:t>
            </w: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AF720C">
            <w:pPr>
              <w:pStyle w:val="Standard"/>
              <w:spacing w:before="360"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本項決議無本館應辦理事項。</w:t>
            </w: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AF720C">
            <w:pPr>
              <w:pStyle w:val="Standard"/>
              <w:spacing w:before="72"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本項決議無本館應辦理事項。</w:t>
            </w: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line="400" w:lineRule="exact"/>
              <w:jc w:val="both"/>
              <w:rPr>
                <w:rFonts w:ascii="標楷體" w:eastAsia="標楷體" w:hAnsi="標楷體" w:cs="華康楷書體W5外字集"/>
                <w:szCs w:val="24"/>
                <w:lang w:eastAsia="zh-HK"/>
              </w:rPr>
            </w:pPr>
          </w:p>
          <w:p w:rsidR="008620A4" w:rsidRDefault="008620A4">
            <w:pPr>
              <w:pStyle w:val="Standard"/>
              <w:spacing w:line="400" w:lineRule="exact"/>
              <w:jc w:val="both"/>
              <w:rPr>
                <w:rFonts w:ascii="標楷體" w:eastAsia="標楷體" w:hAnsi="標楷體" w:cs="華康楷書體W5外字集"/>
                <w:szCs w:val="24"/>
                <w:lang w:eastAsia="zh-HK"/>
              </w:rPr>
            </w:pPr>
          </w:p>
          <w:p w:rsidR="008620A4" w:rsidRDefault="008620A4" w:rsidP="00B63AC2">
            <w:pPr>
              <w:pStyle w:val="Standard"/>
              <w:spacing w:before="300" w:line="280" w:lineRule="exact"/>
              <w:jc w:val="both"/>
              <w:rPr>
                <w:rFonts w:ascii="標楷體" w:eastAsia="標楷體" w:hAnsi="標楷體" w:cs="華康楷書體W5外字集"/>
                <w:szCs w:val="24"/>
                <w:lang w:eastAsia="zh-HK"/>
              </w:rPr>
            </w:pPr>
          </w:p>
          <w:p w:rsidR="008620A4" w:rsidRDefault="00AF720C">
            <w:pPr>
              <w:pStyle w:val="Standard"/>
              <w:spacing w:line="28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本項決議無本館應辦理事項。</w:t>
            </w: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AF720C" w:rsidP="00B63AC2">
            <w:pPr>
              <w:pStyle w:val="Standard"/>
              <w:spacing w:before="200"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本項決議無本館應辦理事項。</w:t>
            </w: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8620A4">
            <w:pPr>
              <w:pStyle w:val="Standard"/>
              <w:spacing w:line="400" w:lineRule="exact"/>
              <w:jc w:val="both"/>
              <w:rPr>
                <w:rFonts w:ascii="標楷體" w:eastAsia="標楷體" w:hAnsi="標楷體" w:cs="華康楷書體W5外字集"/>
                <w:szCs w:val="24"/>
              </w:rPr>
            </w:pPr>
          </w:p>
          <w:p w:rsidR="008620A4" w:rsidRDefault="00AF720C" w:rsidP="00B63AC2">
            <w:pPr>
              <w:pStyle w:val="Standard"/>
              <w:spacing w:before="240"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本項決議無本館應辦理事項。</w:t>
            </w: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8620A4">
            <w:pPr>
              <w:pStyle w:val="Standard"/>
              <w:spacing w:before="144" w:line="400" w:lineRule="exact"/>
              <w:jc w:val="both"/>
              <w:rPr>
                <w:rFonts w:ascii="標楷體" w:eastAsia="標楷體" w:hAnsi="標楷體" w:cs="華康楷書體W5外字集"/>
                <w:szCs w:val="24"/>
                <w:lang w:eastAsia="zh-HK"/>
              </w:rPr>
            </w:pPr>
          </w:p>
          <w:p w:rsidR="008620A4" w:rsidRDefault="00AF720C" w:rsidP="00B63AC2">
            <w:pPr>
              <w:pStyle w:val="Standard"/>
              <w:spacing w:before="600"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本項決議無本館應辦理事項。</w:t>
            </w: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144" w:line="400" w:lineRule="exact"/>
              <w:jc w:val="both"/>
              <w:rPr>
                <w:rFonts w:ascii="標楷體" w:eastAsia="標楷體" w:hAnsi="標楷體" w:cs="華康楷書體W5外字集"/>
                <w:szCs w:val="24"/>
              </w:rPr>
            </w:pPr>
          </w:p>
          <w:p w:rsidR="008620A4" w:rsidRDefault="008620A4">
            <w:pPr>
              <w:pStyle w:val="Standard"/>
              <w:spacing w:before="360" w:line="400" w:lineRule="exact"/>
              <w:jc w:val="both"/>
              <w:rPr>
                <w:rFonts w:ascii="標楷體" w:eastAsia="標楷體" w:hAnsi="標楷體" w:cs="華康楷書體W5外字集"/>
                <w:szCs w:val="24"/>
              </w:rPr>
            </w:pPr>
          </w:p>
          <w:p w:rsidR="008620A4" w:rsidRDefault="00AF720C" w:rsidP="00B63AC2">
            <w:pPr>
              <w:pStyle w:val="Standard"/>
              <w:spacing w:before="80" w:line="400" w:lineRule="exact"/>
              <w:jc w:val="both"/>
              <w:rPr>
                <w:rFonts w:ascii="標楷體" w:eastAsia="標楷體" w:hAnsi="標楷體" w:cs="華康楷書體W5外字集"/>
                <w:szCs w:val="24"/>
                <w:lang w:eastAsia="zh-HK"/>
              </w:rPr>
            </w:pPr>
            <w:r>
              <w:rPr>
                <w:rFonts w:ascii="標楷體" w:eastAsia="標楷體" w:hAnsi="標楷體" w:cs="華康楷書體W5外字集"/>
                <w:szCs w:val="24"/>
                <w:lang w:eastAsia="zh-HK"/>
              </w:rPr>
              <w:t>本項決議無本館應辦理事項。</w:t>
            </w:r>
          </w:p>
          <w:p w:rsidR="008620A4" w:rsidRDefault="008620A4">
            <w:pPr>
              <w:pStyle w:val="Standard"/>
              <w:spacing w:before="144" w:line="400" w:lineRule="exact"/>
              <w:jc w:val="both"/>
              <w:rPr>
                <w:rFonts w:ascii="標楷體" w:eastAsia="標楷體" w:hAnsi="標楷體" w:cs="華康楷書體W5外字集"/>
                <w:szCs w:val="24"/>
              </w:rPr>
            </w:pPr>
          </w:p>
          <w:p w:rsidR="00AB39E9" w:rsidRDefault="00AB39E9">
            <w:pPr>
              <w:pStyle w:val="Standard"/>
              <w:spacing w:before="144" w:line="400" w:lineRule="exact"/>
              <w:jc w:val="both"/>
              <w:rPr>
                <w:rFonts w:ascii="標楷體" w:eastAsia="標楷體" w:hAnsi="標楷體" w:cs="華康楷書體W5外字集"/>
                <w:szCs w:val="24"/>
              </w:rPr>
            </w:pPr>
          </w:p>
          <w:p w:rsidR="00AB39E9" w:rsidRDefault="00AB39E9">
            <w:pPr>
              <w:pStyle w:val="Standard"/>
              <w:spacing w:before="144" w:line="400" w:lineRule="exact"/>
              <w:jc w:val="both"/>
              <w:rPr>
                <w:rFonts w:ascii="標楷體" w:eastAsia="標楷體" w:hAnsi="標楷體" w:cs="華康楷書體W5外字集"/>
                <w:szCs w:val="24"/>
              </w:rPr>
            </w:pPr>
          </w:p>
          <w:p w:rsidR="000350D5" w:rsidRDefault="000350D5" w:rsidP="000350D5">
            <w:pPr>
              <w:pStyle w:val="Standard"/>
              <w:spacing w:before="144"/>
              <w:jc w:val="both"/>
              <w:rPr>
                <w:rFonts w:eastAsia="標楷體" w:hAnsi="標楷體"/>
                <w:kern w:val="2"/>
                <w:szCs w:val="24"/>
              </w:rPr>
            </w:pPr>
          </w:p>
          <w:p w:rsidR="00AB39E9" w:rsidRDefault="000350D5" w:rsidP="000350D5">
            <w:pPr>
              <w:pStyle w:val="Standard"/>
              <w:spacing w:before="144"/>
              <w:jc w:val="both"/>
              <w:rPr>
                <w:rFonts w:ascii="標楷體" w:eastAsia="標楷體" w:hAnsi="標楷體" w:cs="華康楷書體W5外字集"/>
                <w:szCs w:val="24"/>
              </w:rPr>
            </w:pPr>
            <w:r>
              <w:rPr>
                <w:rFonts w:eastAsia="標楷體" w:hAnsi="標楷體" w:hint="eastAsia"/>
                <w:kern w:val="2"/>
                <w:szCs w:val="24"/>
              </w:rPr>
              <w:t>本部業於</w:t>
            </w:r>
            <w:r>
              <w:rPr>
                <w:rFonts w:eastAsia="標楷體" w:hAnsi="標楷體" w:hint="eastAsia"/>
                <w:kern w:val="2"/>
                <w:szCs w:val="24"/>
              </w:rPr>
              <w:t>1</w:t>
            </w:r>
            <w:r>
              <w:rPr>
                <w:rFonts w:eastAsia="標楷體" w:hAnsi="標楷體"/>
                <w:kern w:val="2"/>
                <w:szCs w:val="24"/>
              </w:rPr>
              <w:t>11</w:t>
            </w:r>
            <w:r>
              <w:rPr>
                <w:rFonts w:eastAsia="標楷體" w:hAnsi="標楷體"/>
                <w:kern w:val="2"/>
                <w:szCs w:val="24"/>
              </w:rPr>
              <w:t>年</w:t>
            </w:r>
            <w:r>
              <w:rPr>
                <w:rFonts w:eastAsia="標楷體" w:hAnsi="標楷體" w:hint="eastAsia"/>
                <w:kern w:val="2"/>
                <w:szCs w:val="24"/>
              </w:rPr>
              <w:t>5</w:t>
            </w:r>
            <w:r>
              <w:rPr>
                <w:rFonts w:eastAsia="標楷體" w:hAnsi="標楷體" w:hint="eastAsia"/>
                <w:kern w:val="2"/>
                <w:szCs w:val="24"/>
              </w:rPr>
              <w:t>月</w:t>
            </w:r>
            <w:r>
              <w:rPr>
                <w:rFonts w:eastAsia="標楷體" w:hAnsi="標楷體" w:hint="eastAsia"/>
                <w:kern w:val="2"/>
                <w:szCs w:val="24"/>
              </w:rPr>
              <w:t>1</w:t>
            </w:r>
            <w:r>
              <w:rPr>
                <w:rFonts w:eastAsia="標楷體" w:hAnsi="標楷體"/>
                <w:kern w:val="2"/>
                <w:szCs w:val="24"/>
              </w:rPr>
              <w:t>6</w:t>
            </w:r>
            <w:r>
              <w:rPr>
                <w:rFonts w:eastAsia="標楷體" w:hAnsi="標楷體"/>
                <w:kern w:val="2"/>
                <w:szCs w:val="24"/>
              </w:rPr>
              <w:t>日以</w:t>
            </w:r>
            <w:r w:rsidRPr="000350D5">
              <w:rPr>
                <w:rFonts w:ascii="標楷體" w:eastAsia="標楷體" w:hAnsi="標楷體" w:cs="DFKaiShu-SB-Estd-BF" w:hint="eastAsia"/>
                <w:szCs w:val="24"/>
              </w:rPr>
              <w:t>臺教社</w:t>
            </w:r>
            <w:r w:rsidRPr="000350D5">
              <w:rPr>
                <w:rFonts w:ascii="標楷體" w:eastAsia="標楷體" w:hAnsi="標楷體" w:cs="DFKaiShu-SB-Estd-BF"/>
                <w:szCs w:val="24"/>
              </w:rPr>
              <w:t>(</w:t>
            </w:r>
            <w:r w:rsidRPr="000350D5">
              <w:rPr>
                <w:rFonts w:ascii="標楷體" w:eastAsia="標楷體" w:hAnsi="標楷體" w:cs="DFKaiShu-SB-Estd-BF" w:hint="eastAsia"/>
                <w:szCs w:val="24"/>
              </w:rPr>
              <w:t>四</w:t>
            </w:r>
            <w:r w:rsidRPr="000350D5">
              <w:rPr>
                <w:rFonts w:ascii="標楷體" w:eastAsia="標楷體" w:hAnsi="標楷體" w:cs="DFKaiShu-SB-Estd-BF"/>
                <w:szCs w:val="24"/>
              </w:rPr>
              <w:t>)</w:t>
            </w:r>
            <w:r w:rsidRPr="000350D5">
              <w:rPr>
                <w:rFonts w:ascii="標楷體" w:eastAsia="標楷體" w:hAnsi="標楷體" w:cs="DFKaiShu-SB-Estd-BF" w:hint="eastAsia"/>
                <w:szCs w:val="24"/>
              </w:rPr>
              <w:t>字第</w:t>
            </w:r>
            <w:r w:rsidRPr="000350D5">
              <w:rPr>
                <w:rFonts w:ascii="標楷體" w:eastAsia="標楷體" w:hAnsi="標楷體" w:cs="DFKaiShu-SB-Estd-BF"/>
                <w:szCs w:val="24"/>
              </w:rPr>
              <w:t>1112402265</w:t>
            </w:r>
            <w:r w:rsidRPr="000350D5">
              <w:rPr>
                <w:rFonts w:ascii="標楷體" w:eastAsia="標楷體" w:hAnsi="標楷體" w:cs="DFKaiShu-SB-Estd-BF" w:hint="eastAsia"/>
                <w:szCs w:val="24"/>
              </w:rPr>
              <w:t>號</w:t>
            </w:r>
            <w:r w:rsidR="00734A3E">
              <w:rPr>
                <w:rFonts w:ascii="標楷體" w:eastAsia="標楷體" w:hAnsi="標楷體" w:cs="DFKaiShu-SB-Estd-BF" w:hint="eastAsia"/>
                <w:szCs w:val="24"/>
              </w:rPr>
              <w:t>函</w:t>
            </w:r>
            <w:r w:rsidR="00734A3E">
              <w:rPr>
                <w:rFonts w:eastAsia="標楷體" w:hAnsi="標楷體"/>
                <w:kern w:val="2"/>
                <w:szCs w:val="24"/>
              </w:rPr>
              <w:t>將</w:t>
            </w:r>
            <w:r>
              <w:rPr>
                <w:rFonts w:eastAsia="標楷體" w:hAnsi="標楷體"/>
                <w:kern w:val="2"/>
                <w:szCs w:val="24"/>
              </w:rPr>
              <w:t>「</w:t>
            </w:r>
            <w:r w:rsidRPr="00AB39E9">
              <w:rPr>
                <w:rFonts w:eastAsia="標楷體" w:hAnsi="標楷體" w:hint="eastAsia"/>
                <w:kern w:val="2"/>
                <w:szCs w:val="24"/>
              </w:rPr>
              <w:t>針對數位使用者滿意度調查評分較低選項，精進相關服務，以滿足數位讀者之需求</w:t>
            </w:r>
            <w:r>
              <w:rPr>
                <w:rFonts w:ascii="標楷體" w:eastAsia="標楷體" w:hAnsi="標楷體" w:hint="eastAsia"/>
                <w:kern w:val="2"/>
                <w:szCs w:val="24"/>
              </w:rPr>
              <w:t>」</w:t>
            </w:r>
            <w:r w:rsidRPr="00AB39E9">
              <w:rPr>
                <w:rFonts w:eastAsia="標楷體" w:hint="eastAsia"/>
                <w:szCs w:val="24"/>
              </w:rPr>
              <w:t>書面</w:t>
            </w:r>
            <w:r w:rsidRPr="00AB39E9">
              <w:rPr>
                <w:rFonts w:ascii="標楷體" w:eastAsia="標楷體" w:hAnsi="標楷體" w:hint="eastAsia"/>
                <w:kern w:val="2"/>
                <w:szCs w:val="24"/>
              </w:rPr>
              <w:t>報告</w:t>
            </w:r>
            <w:r w:rsidR="00734A3E">
              <w:rPr>
                <w:rFonts w:ascii="標楷體" w:eastAsia="標楷體" w:hAnsi="標楷體" w:hint="eastAsia"/>
                <w:kern w:val="2"/>
                <w:szCs w:val="24"/>
              </w:rPr>
              <w:t>函送立法院，茲摘述內容如下：</w:t>
            </w:r>
          </w:p>
          <w:p w:rsidR="00072A12" w:rsidRPr="001F6EC4" w:rsidRDefault="00734A3E" w:rsidP="001F6EC4">
            <w:pPr>
              <w:pStyle w:val="Standard"/>
              <w:spacing w:before="144"/>
              <w:ind w:left="480" w:hangingChars="200" w:hanging="480"/>
              <w:jc w:val="both"/>
              <w:rPr>
                <w:rFonts w:ascii="標楷體" w:eastAsia="標楷體" w:hAnsi="標楷體" w:cs="華康楷書體W5外字集"/>
                <w:szCs w:val="24"/>
              </w:rPr>
            </w:pPr>
            <w:r>
              <w:rPr>
                <w:rFonts w:ascii="標楷體" w:eastAsia="標楷體" w:hAnsi="標楷體" w:cs="華康楷書體W5外字集"/>
                <w:szCs w:val="24"/>
              </w:rPr>
              <w:t>一、</w:t>
            </w:r>
            <w:r w:rsidRPr="00734A3E">
              <w:rPr>
                <w:rFonts w:eastAsia="標楷體" w:hint="eastAsia"/>
                <w:bCs/>
                <w:szCs w:val="24"/>
              </w:rPr>
              <w:t>完成</w:t>
            </w:r>
            <w:r w:rsidRPr="00734A3E">
              <w:rPr>
                <w:rFonts w:eastAsia="標楷體"/>
                <w:bCs/>
                <w:szCs w:val="24"/>
              </w:rPr>
              <w:t>優化</w:t>
            </w:r>
            <w:r w:rsidRPr="00734A3E">
              <w:rPr>
                <w:rFonts w:eastAsia="標楷體"/>
                <w:szCs w:val="24"/>
              </w:rPr>
              <w:t>電子書服務平臺閱讀功能</w:t>
            </w:r>
            <w:r>
              <w:rPr>
                <w:rFonts w:eastAsia="標楷體"/>
                <w:szCs w:val="24"/>
              </w:rPr>
              <w:t>：</w:t>
            </w:r>
            <w:r>
              <w:rPr>
                <w:rFonts w:eastAsia="標楷體" w:hint="eastAsia"/>
                <w:szCs w:val="24"/>
              </w:rPr>
              <w:t>完成</w:t>
            </w:r>
            <w:r w:rsidR="001F6EC4" w:rsidRPr="001F6EC4">
              <w:rPr>
                <w:rFonts w:eastAsia="標楷體"/>
                <w:bCs/>
                <w:szCs w:val="24"/>
              </w:rPr>
              <w:t>平臺</w:t>
            </w:r>
            <w:r w:rsidR="001F6EC4" w:rsidRPr="001F6EC4">
              <w:rPr>
                <w:rFonts w:eastAsia="標楷體"/>
                <w:szCs w:val="24"/>
              </w:rPr>
              <w:t>書籍主題分類細項及篩選功能、個人書房收藏電子書時間排序及標籤搜尋功能；電子書閱讀</w:t>
            </w:r>
            <w:r w:rsidR="001F6EC4" w:rsidRPr="001F6EC4">
              <w:rPr>
                <w:rFonts w:eastAsia="標楷體"/>
                <w:szCs w:val="24"/>
              </w:rPr>
              <w:t>APP</w:t>
            </w:r>
            <w:r w:rsidR="001F6EC4" w:rsidRPr="001F6EC4">
              <w:rPr>
                <w:rFonts w:eastAsia="標楷體"/>
                <w:szCs w:val="24"/>
              </w:rPr>
              <w:t>之主題書展展示與檢索、閱讀物件類型篩</w:t>
            </w:r>
            <w:r w:rsidR="001F6EC4" w:rsidRPr="001F6EC4">
              <w:rPr>
                <w:rFonts w:eastAsia="標楷體"/>
                <w:szCs w:val="24"/>
              </w:rPr>
              <w:lastRenderedPageBreak/>
              <w:t>選功能、可借書籍的分類功能等</w:t>
            </w:r>
            <w:r w:rsidR="001F6EC4">
              <w:rPr>
                <w:rFonts w:eastAsia="標楷體"/>
                <w:szCs w:val="24"/>
              </w:rPr>
              <w:t>，</w:t>
            </w:r>
            <w:r w:rsidR="001F6EC4" w:rsidRPr="001F6EC4">
              <w:rPr>
                <w:rFonts w:eastAsia="標楷體"/>
                <w:szCs w:val="24"/>
              </w:rPr>
              <w:t>讀者透過電腦或</w:t>
            </w:r>
            <w:r w:rsidR="001F6EC4" w:rsidRPr="001F6EC4">
              <w:rPr>
                <w:rFonts w:eastAsia="標楷體"/>
                <w:szCs w:val="24"/>
              </w:rPr>
              <w:t>APP</w:t>
            </w:r>
            <w:r w:rsidR="001F6EC4" w:rsidRPr="001F6EC4">
              <w:rPr>
                <w:rFonts w:eastAsia="標楷體"/>
                <w:szCs w:val="24"/>
              </w:rPr>
              <w:t>借閱電子書將更便捷。</w:t>
            </w:r>
          </w:p>
          <w:p w:rsidR="00072A12" w:rsidRPr="001F6EC4" w:rsidRDefault="001F6EC4" w:rsidP="00E81229">
            <w:pPr>
              <w:pStyle w:val="Standard"/>
              <w:ind w:left="480" w:hangingChars="200" w:hanging="480"/>
              <w:jc w:val="both"/>
              <w:rPr>
                <w:rFonts w:ascii="標楷體" w:eastAsia="標楷體" w:hAnsi="標楷體" w:cs="華康楷書體W5外字集"/>
                <w:szCs w:val="24"/>
              </w:rPr>
            </w:pPr>
            <w:r>
              <w:rPr>
                <w:rFonts w:ascii="標楷體" w:eastAsia="標楷體" w:hAnsi="標楷體" w:cs="華康楷書體W5外字集"/>
                <w:szCs w:val="24"/>
              </w:rPr>
              <w:t>二、</w:t>
            </w:r>
            <w:r w:rsidRPr="00120DBA">
              <w:rPr>
                <w:rFonts w:eastAsia="標楷體"/>
                <w:bCs/>
                <w:szCs w:val="24"/>
              </w:rPr>
              <w:t>增加</w:t>
            </w:r>
            <w:r w:rsidRPr="00120DBA">
              <w:rPr>
                <w:rFonts w:eastAsia="標楷體"/>
                <w:szCs w:val="24"/>
              </w:rPr>
              <w:t>電子書服務</w:t>
            </w:r>
            <w:r w:rsidRPr="00120DBA">
              <w:rPr>
                <w:rFonts w:eastAsia="標楷體" w:hint="eastAsia"/>
                <w:bCs/>
                <w:szCs w:val="24"/>
              </w:rPr>
              <w:t>平臺</w:t>
            </w:r>
            <w:r w:rsidRPr="00120DBA">
              <w:rPr>
                <w:rFonts w:eastAsia="標楷體"/>
                <w:bCs/>
                <w:szCs w:val="24"/>
              </w:rPr>
              <w:t>新到電子書更新頻率及策劃主題書展</w:t>
            </w:r>
            <w:r>
              <w:rPr>
                <w:rFonts w:eastAsia="標楷體"/>
                <w:bCs/>
                <w:szCs w:val="24"/>
              </w:rPr>
              <w:t>：</w:t>
            </w:r>
            <w:r w:rsidRPr="00120DBA">
              <w:rPr>
                <w:rFonts w:eastAsia="標楷體"/>
                <w:szCs w:val="24"/>
              </w:rPr>
              <w:t>電子書服務平臺上之新到圖書區，從每月更新一次上架新書，調整為每週一次上架新書，使讀者可感受到週週有新書，並再挑選讀者感興趣之主題圖書（如趨勢、休閒、醫療等）策劃線上主題書展，吸引讀者借閱。</w:t>
            </w:r>
          </w:p>
          <w:p w:rsidR="001F6EC4" w:rsidRDefault="001F6EC4" w:rsidP="00E81229">
            <w:pPr>
              <w:pStyle w:val="Standard"/>
              <w:ind w:left="480" w:hangingChars="200" w:hanging="480"/>
              <w:jc w:val="both"/>
              <w:rPr>
                <w:rFonts w:eastAsia="標楷體"/>
                <w:szCs w:val="24"/>
              </w:rPr>
            </w:pPr>
            <w:r>
              <w:rPr>
                <w:rFonts w:ascii="標楷體" w:eastAsia="標楷體" w:hAnsi="標楷體" w:cs="華康楷書體W5外字集"/>
                <w:szCs w:val="24"/>
              </w:rPr>
              <w:t>三、</w:t>
            </w:r>
            <w:r w:rsidRPr="00120DBA">
              <w:rPr>
                <w:rFonts w:eastAsia="標楷體" w:hint="eastAsia"/>
                <w:bCs/>
                <w:szCs w:val="24"/>
              </w:rPr>
              <w:t>提升</w:t>
            </w:r>
            <w:r w:rsidRPr="00120DBA">
              <w:rPr>
                <w:rFonts w:eastAsia="標楷體"/>
                <w:szCs w:val="24"/>
              </w:rPr>
              <w:t>電子書服務</w:t>
            </w:r>
            <w:r w:rsidRPr="00120DBA">
              <w:rPr>
                <w:rFonts w:eastAsia="標楷體" w:hint="eastAsia"/>
                <w:bCs/>
                <w:szCs w:val="24"/>
              </w:rPr>
              <w:t>平臺借閱冊數及增購熱門主題書籍</w:t>
            </w:r>
            <w:r>
              <w:rPr>
                <w:rFonts w:eastAsia="標楷體" w:hint="eastAsia"/>
                <w:bCs/>
                <w:szCs w:val="24"/>
              </w:rPr>
              <w:t>：</w:t>
            </w:r>
            <w:r w:rsidRPr="00120DBA">
              <w:rPr>
                <w:rFonts w:eastAsia="標楷體"/>
                <w:bCs/>
                <w:szCs w:val="24"/>
              </w:rPr>
              <w:t>由每人最多可借閱</w:t>
            </w:r>
            <w:r w:rsidRPr="00120DBA">
              <w:rPr>
                <w:rFonts w:eastAsia="標楷體"/>
                <w:bCs/>
                <w:szCs w:val="24"/>
              </w:rPr>
              <w:t>4</w:t>
            </w:r>
            <w:r w:rsidRPr="00120DBA">
              <w:rPr>
                <w:rFonts w:eastAsia="標楷體"/>
                <w:bCs/>
                <w:szCs w:val="24"/>
              </w:rPr>
              <w:t>冊提高</w:t>
            </w:r>
            <w:r w:rsidRPr="00120DBA">
              <w:rPr>
                <w:rFonts w:eastAsia="標楷體"/>
                <w:szCs w:val="24"/>
              </w:rPr>
              <w:t>為</w:t>
            </w:r>
            <w:r w:rsidRPr="00120DBA">
              <w:rPr>
                <w:rFonts w:eastAsia="標楷體"/>
                <w:szCs w:val="24"/>
              </w:rPr>
              <w:t>8</w:t>
            </w:r>
            <w:r w:rsidRPr="00120DBA">
              <w:rPr>
                <w:rFonts w:eastAsia="標楷體"/>
                <w:szCs w:val="24"/>
              </w:rPr>
              <w:t>冊；對於熱門預約書則適時增購授權數；讀者建議增購親子教養及電腦方面的電子書籍，已陸續增購充實中</w:t>
            </w:r>
            <w:r w:rsidRPr="00120DBA">
              <w:rPr>
                <w:rFonts w:eastAsia="標楷體" w:hint="eastAsia"/>
                <w:szCs w:val="24"/>
              </w:rPr>
              <w:t>。</w:t>
            </w:r>
          </w:p>
          <w:p w:rsidR="001F6EC4" w:rsidRDefault="001F6EC4" w:rsidP="00E81229">
            <w:pPr>
              <w:pStyle w:val="Standard"/>
              <w:spacing w:before="900"/>
              <w:jc w:val="both"/>
              <w:rPr>
                <w:rFonts w:ascii="標楷體" w:eastAsia="標楷體" w:hAnsi="標楷體" w:cs="華康楷書體W5外字集"/>
                <w:szCs w:val="24"/>
              </w:rPr>
            </w:pPr>
            <w:r>
              <w:rPr>
                <w:rFonts w:eastAsia="標楷體" w:hAnsi="標楷體" w:hint="eastAsia"/>
                <w:kern w:val="2"/>
                <w:szCs w:val="24"/>
              </w:rPr>
              <w:t>本部業於</w:t>
            </w:r>
            <w:r>
              <w:rPr>
                <w:rFonts w:eastAsia="標楷體" w:hAnsi="標楷體" w:hint="eastAsia"/>
                <w:kern w:val="2"/>
                <w:szCs w:val="24"/>
              </w:rPr>
              <w:t>1</w:t>
            </w:r>
            <w:r>
              <w:rPr>
                <w:rFonts w:eastAsia="標楷體" w:hAnsi="標楷體"/>
                <w:kern w:val="2"/>
                <w:szCs w:val="24"/>
              </w:rPr>
              <w:t>11</w:t>
            </w:r>
            <w:r>
              <w:rPr>
                <w:rFonts w:eastAsia="標楷體" w:hAnsi="標楷體"/>
                <w:kern w:val="2"/>
                <w:szCs w:val="24"/>
              </w:rPr>
              <w:t>年</w:t>
            </w:r>
            <w:r>
              <w:rPr>
                <w:rFonts w:eastAsia="標楷體" w:hAnsi="標楷體" w:hint="eastAsia"/>
                <w:kern w:val="2"/>
                <w:szCs w:val="24"/>
              </w:rPr>
              <w:t>5</w:t>
            </w:r>
            <w:r>
              <w:rPr>
                <w:rFonts w:eastAsia="標楷體" w:hAnsi="標楷體" w:hint="eastAsia"/>
                <w:kern w:val="2"/>
                <w:szCs w:val="24"/>
              </w:rPr>
              <w:t>月</w:t>
            </w:r>
            <w:r>
              <w:rPr>
                <w:rFonts w:eastAsia="標楷體" w:hAnsi="標楷體" w:hint="eastAsia"/>
                <w:kern w:val="2"/>
                <w:szCs w:val="24"/>
              </w:rPr>
              <w:t>1</w:t>
            </w:r>
            <w:r>
              <w:rPr>
                <w:rFonts w:eastAsia="標楷體" w:hAnsi="標楷體"/>
                <w:kern w:val="2"/>
                <w:szCs w:val="24"/>
              </w:rPr>
              <w:t>6</w:t>
            </w:r>
            <w:r>
              <w:rPr>
                <w:rFonts w:eastAsia="標楷體" w:hAnsi="標楷體"/>
                <w:kern w:val="2"/>
                <w:szCs w:val="24"/>
              </w:rPr>
              <w:t>日以</w:t>
            </w:r>
            <w:r w:rsidRPr="000350D5">
              <w:rPr>
                <w:rFonts w:ascii="標楷體" w:eastAsia="標楷體" w:hAnsi="標楷體" w:cs="DFKaiShu-SB-Estd-BF" w:hint="eastAsia"/>
                <w:szCs w:val="24"/>
              </w:rPr>
              <w:t>臺教社</w:t>
            </w:r>
            <w:r w:rsidRPr="000350D5">
              <w:rPr>
                <w:rFonts w:ascii="標楷體" w:eastAsia="標楷體" w:hAnsi="標楷體" w:cs="DFKaiShu-SB-Estd-BF"/>
                <w:szCs w:val="24"/>
              </w:rPr>
              <w:t>(</w:t>
            </w:r>
            <w:r w:rsidRPr="000350D5">
              <w:rPr>
                <w:rFonts w:ascii="標楷體" w:eastAsia="標楷體" w:hAnsi="標楷體" w:cs="DFKaiShu-SB-Estd-BF" w:hint="eastAsia"/>
                <w:szCs w:val="24"/>
              </w:rPr>
              <w:t>四</w:t>
            </w:r>
            <w:r w:rsidRPr="000350D5">
              <w:rPr>
                <w:rFonts w:ascii="標楷體" w:eastAsia="標楷體" w:hAnsi="標楷體" w:cs="DFKaiShu-SB-Estd-BF"/>
                <w:szCs w:val="24"/>
              </w:rPr>
              <w:t>)</w:t>
            </w:r>
            <w:r w:rsidRPr="000350D5">
              <w:rPr>
                <w:rFonts w:ascii="標楷體" w:eastAsia="標楷體" w:hAnsi="標楷體" w:cs="DFKaiShu-SB-Estd-BF" w:hint="eastAsia"/>
                <w:szCs w:val="24"/>
              </w:rPr>
              <w:t>字第</w:t>
            </w:r>
            <w:r w:rsidRPr="000350D5">
              <w:rPr>
                <w:rFonts w:ascii="標楷體" w:eastAsia="標楷體" w:hAnsi="標楷體" w:cs="DFKaiShu-SB-Estd-BF"/>
                <w:szCs w:val="24"/>
              </w:rPr>
              <w:t>11124022</w:t>
            </w:r>
            <w:r w:rsidR="00E81229">
              <w:rPr>
                <w:rFonts w:ascii="標楷體" w:eastAsia="標楷體" w:hAnsi="標楷體" w:cs="DFKaiShu-SB-Estd-BF"/>
                <w:szCs w:val="24"/>
              </w:rPr>
              <w:t>81</w:t>
            </w:r>
            <w:r w:rsidRPr="000350D5">
              <w:rPr>
                <w:rFonts w:ascii="標楷體" w:eastAsia="標楷體" w:hAnsi="標楷體" w:cs="DFKaiShu-SB-Estd-BF" w:hint="eastAsia"/>
                <w:szCs w:val="24"/>
              </w:rPr>
              <w:t>號</w:t>
            </w:r>
            <w:r>
              <w:rPr>
                <w:rFonts w:ascii="標楷體" w:eastAsia="標楷體" w:hAnsi="標楷體" w:cs="DFKaiShu-SB-Estd-BF" w:hint="eastAsia"/>
                <w:szCs w:val="24"/>
              </w:rPr>
              <w:t>函</w:t>
            </w:r>
            <w:r>
              <w:rPr>
                <w:rFonts w:eastAsia="標楷體" w:hAnsi="標楷體"/>
                <w:kern w:val="2"/>
                <w:szCs w:val="24"/>
              </w:rPr>
              <w:t>將「</w:t>
            </w:r>
            <w:r w:rsidRPr="00AB39E9">
              <w:rPr>
                <w:rFonts w:eastAsia="標楷體" w:hAnsi="標楷體" w:hint="eastAsia"/>
                <w:kern w:val="2"/>
                <w:szCs w:val="24"/>
              </w:rPr>
              <w:t>針對數位使用者滿意度調查評分較低選項，精進相關服務，以滿足數位讀者之需求</w:t>
            </w:r>
            <w:r>
              <w:rPr>
                <w:rFonts w:ascii="標楷體" w:eastAsia="標楷體" w:hAnsi="標楷體" w:hint="eastAsia"/>
                <w:kern w:val="2"/>
                <w:szCs w:val="24"/>
              </w:rPr>
              <w:t>」</w:t>
            </w:r>
            <w:r w:rsidRPr="00AB39E9">
              <w:rPr>
                <w:rFonts w:eastAsia="標楷體" w:hint="eastAsia"/>
                <w:szCs w:val="24"/>
              </w:rPr>
              <w:t>書面</w:t>
            </w:r>
            <w:r w:rsidRPr="00AB39E9">
              <w:rPr>
                <w:rFonts w:ascii="標楷體" w:eastAsia="標楷體" w:hAnsi="標楷體" w:hint="eastAsia"/>
                <w:kern w:val="2"/>
                <w:szCs w:val="24"/>
              </w:rPr>
              <w:t>報告</w:t>
            </w:r>
            <w:r>
              <w:rPr>
                <w:rFonts w:ascii="標楷體" w:eastAsia="標楷體" w:hAnsi="標楷體" w:hint="eastAsia"/>
                <w:kern w:val="2"/>
                <w:szCs w:val="24"/>
              </w:rPr>
              <w:t>函送立法院，茲摘述內容如下：</w:t>
            </w:r>
          </w:p>
          <w:p w:rsidR="001F6EC4" w:rsidRPr="001F6EC4" w:rsidRDefault="001F6EC4" w:rsidP="001F6EC4">
            <w:pPr>
              <w:pStyle w:val="Standard"/>
              <w:spacing w:before="144"/>
              <w:ind w:left="480" w:hangingChars="200" w:hanging="480"/>
              <w:jc w:val="both"/>
              <w:rPr>
                <w:rFonts w:ascii="標楷體" w:eastAsia="標楷體" w:hAnsi="標楷體" w:cs="華康楷書體W5外字集"/>
                <w:szCs w:val="24"/>
              </w:rPr>
            </w:pPr>
            <w:r>
              <w:rPr>
                <w:rFonts w:ascii="標楷體" w:eastAsia="標楷體" w:hAnsi="標楷體" w:cs="華康楷書體W5外字集"/>
                <w:szCs w:val="24"/>
              </w:rPr>
              <w:t>一、</w:t>
            </w:r>
            <w:r w:rsidRPr="00734A3E">
              <w:rPr>
                <w:rFonts w:eastAsia="標楷體" w:hint="eastAsia"/>
                <w:bCs/>
                <w:szCs w:val="24"/>
              </w:rPr>
              <w:t>完成</w:t>
            </w:r>
            <w:r w:rsidRPr="00734A3E">
              <w:rPr>
                <w:rFonts w:eastAsia="標楷體"/>
                <w:bCs/>
                <w:szCs w:val="24"/>
              </w:rPr>
              <w:t>優化</w:t>
            </w:r>
            <w:r w:rsidRPr="00734A3E">
              <w:rPr>
                <w:rFonts w:eastAsia="標楷體"/>
                <w:szCs w:val="24"/>
              </w:rPr>
              <w:t>電子書服務平臺閱讀功能</w:t>
            </w:r>
            <w:r>
              <w:rPr>
                <w:rFonts w:eastAsia="標楷體"/>
                <w:szCs w:val="24"/>
              </w:rPr>
              <w:t>：</w:t>
            </w:r>
            <w:r>
              <w:rPr>
                <w:rFonts w:eastAsia="標楷體" w:hint="eastAsia"/>
                <w:szCs w:val="24"/>
              </w:rPr>
              <w:t>完成</w:t>
            </w:r>
            <w:r w:rsidRPr="001F6EC4">
              <w:rPr>
                <w:rFonts w:eastAsia="標楷體"/>
                <w:bCs/>
                <w:szCs w:val="24"/>
              </w:rPr>
              <w:t>平臺</w:t>
            </w:r>
            <w:r w:rsidRPr="001F6EC4">
              <w:rPr>
                <w:rFonts w:eastAsia="標楷體"/>
                <w:szCs w:val="24"/>
              </w:rPr>
              <w:t>書籍主題分類細項及篩選功能、個人書房收藏電子書時間排序及標籤搜尋功能；電子書閱讀</w:t>
            </w:r>
            <w:r w:rsidRPr="001F6EC4">
              <w:rPr>
                <w:rFonts w:eastAsia="標楷體"/>
                <w:szCs w:val="24"/>
              </w:rPr>
              <w:t>APP</w:t>
            </w:r>
            <w:r w:rsidRPr="001F6EC4">
              <w:rPr>
                <w:rFonts w:eastAsia="標楷體"/>
                <w:szCs w:val="24"/>
              </w:rPr>
              <w:t>之主題書展展示與檢索、閱讀物件類型篩選功能、可借書籍的分類功能等</w:t>
            </w:r>
            <w:r>
              <w:rPr>
                <w:rFonts w:eastAsia="標楷體"/>
                <w:szCs w:val="24"/>
              </w:rPr>
              <w:t>，</w:t>
            </w:r>
            <w:r w:rsidRPr="001F6EC4">
              <w:rPr>
                <w:rFonts w:eastAsia="標楷體"/>
                <w:szCs w:val="24"/>
              </w:rPr>
              <w:t>讀者透過電腦或</w:t>
            </w:r>
            <w:r w:rsidRPr="001F6EC4">
              <w:rPr>
                <w:rFonts w:eastAsia="標楷體"/>
                <w:szCs w:val="24"/>
              </w:rPr>
              <w:t>APP</w:t>
            </w:r>
            <w:r w:rsidRPr="001F6EC4">
              <w:rPr>
                <w:rFonts w:eastAsia="標楷體"/>
                <w:szCs w:val="24"/>
              </w:rPr>
              <w:t>借閱電子書將更便捷。</w:t>
            </w:r>
          </w:p>
          <w:p w:rsidR="001F6EC4" w:rsidRPr="001F6EC4" w:rsidRDefault="001F6EC4" w:rsidP="00E81229">
            <w:pPr>
              <w:pStyle w:val="Standard"/>
              <w:ind w:left="480" w:hangingChars="200" w:hanging="480"/>
              <w:jc w:val="both"/>
              <w:rPr>
                <w:rFonts w:ascii="標楷體" w:eastAsia="標楷體" w:hAnsi="標楷體" w:cs="華康楷書體W5外字集"/>
                <w:szCs w:val="24"/>
              </w:rPr>
            </w:pPr>
            <w:r>
              <w:rPr>
                <w:rFonts w:ascii="標楷體" w:eastAsia="標楷體" w:hAnsi="標楷體" w:cs="華康楷書體W5外字集"/>
                <w:szCs w:val="24"/>
              </w:rPr>
              <w:t>二、</w:t>
            </w:r>
            <w:r w:rsidRPr="00120DBA">
              <w:rPr>
                <w:rFonts w:eastAsia="標楷體"/>
                <w:bCs/>
                <w:szCs w:val="24"/>
              </w:rPr>
              <w:t>增加</w:t>
            </w:r>
            <w:r w:rsidRPr="00120DBA">
              <w:rPr>
                <w:rFonts w:eastAsia="標楷體"/>
                <w:szCs w:val="24"/>
              </w:rPr>
              <w:t>電子書服務</w:t>
            </w:r>
            <w:r w:rsidRPr="00120DBA">
              <w:rPr>
                <w:rFonts w:eastAsia="標楷體" w:hint="eastAsia"/>
                <w:bCs/>
                <w:szCs w:val="24"/>
              </w:rPr>
              <w:t>平臺</w:t>
            </w:r>
            <w:r w:rsidRPr="00120DBA">
              <w:rPr>
                <w:rFonts w:eastAsia="標楷體"/>
                <w:bCs/>
                <w:szCs w:val="24"/>
              </w:rPr>
              <w:t>新到電子書更新頻率及策劃主題書展</w:t>
            </w:r>
            <w:r>
              <w:rPr>
                <w:rFonts w:eastAsia="標楷體"/>
                <w:bCs/>
                <w:szCs w:val="24"/>
              </w:rPr>
              <w:t>：</w:t>
            </w:r>
            <w:r w:rsidRPr="00120DBA">
              <w:rPr>
                <w:rFonts w:eastAsia="標楷體"/>
                <w:szCs w:val="24"/>
              </w:rPr>
              <w:t>電子書服務平臺上之新到圖書區，從每月更新一次上架新書，</w:t>
            </w:r>
            <w:bookmarkStart w:id="0" w:name="_GoBack"/>
            <w:bookmarkEnd w:id="0"/>
            <w:r w:rsidRPr="00120DBA">
              <w:rPr>
                <w:rFonts w:eastAsia="標楷體"/>
                <w:szCs w:val="24"/>
              </w:rPr>
              <w:t>調整為每週一次上架新書，使讀者可感受到週週有新書，並再挑選讀者感興趣之主題圖書（如趨勢、休閒、醫療等）策劃線上主題書</w:t>
            </w:r>
            <w:r w:rsidRPr="00120DBA">
              <w:rPr>
                <w:rFonts w:eastAsia="標楷體"/>
                <w:szCs w:val="24"/>
              </w:rPr>
              <w:lastRenderedPageBreak/>
              <w:t>展，吸引讀者借閱。</w:t>
            </w:r>
          </w:p>
          <w:p w:rsidR="00072A12" w:rsidRPr="00AB39E9" w:rsidRDefault="001F6EC4" w:rsidP="00531FD1">
            <w:pPr>
              <w:pStyle w:val="Standard"/>
              <w:spacing w:before="120"/>
              <w:ind w:left="480" w:hangingChars="200" w:hanging="480"/>
              <w:jc w:val="both"/>
              <w:rPr>
                <w:rFonts w:ascii="標楷體" w:eastAsia="標楷體" w:hAnsi="標楷體" w:cs="華康楷書體W5外字集"/>
                <w:szCs w:val="24"/>
              </w:rPr>
            </w:pPr>
            <w:r>
              <w:rPr>
                <w:rFonts w:ascii="標楷體" w:eastAsia="標楷體" w:hAnsi="標楷體" w:cs="華康楷書體W5外字集"/>
                <w:szCs w:val="24"/>
              </w:rPr>
              <w:t>三、</w:t>
            </w:r>
            <w:r w:rsidRPr="00120DBA">
              <w:rPr>
                <w:rFonts w:eastAsia="標楷體" w:hint="eastAsia"/>
                <w:bCs/>
                <w:szCs w:val="24"/>
              </w:rPr>
              <w:t>提升</w:t>
            </w:r>
            <w:r w:rsidRPr="00120DBA">
              <w:rPr>
                <w:rFonts w:eastAsia="標楷體"/>
                <w:szCs w:val="24"/>
              </w:rPr>
              <w:t>電子書服務</w:t>
            </w:r>
            <w:r w:rsidRPr="00120DBA">
              <w:rPr>
                <w:rFonts w:eastAsia="標楷體" w:hint="eastAsia"/>
                <w:bCs/>
                <w:szCs w:val="24"/>
              </w:rPr>
              <w:t>平臺借閱冊數及增購熱門主題書籍</w:t>
            </w:r>
            <w:r>
              <w:rPr>
                <w:rFonts w:eastAsia="標楷體" w:hint="eastAsia"/>
                <w:bCs/>
                <w:szCs w:val="24"/>
              </w:rPr>
              <w:t>：</w:t>
            </w:r>
            <w:r w:rsidRPr="00120DBA">
              <w:rPr>
                <w:rFonts w:eastAsia="標楷體"/>
                <w:bCs/>
                <w:szCs w:val="24"/>
              </w:rPr>
              <w:t>由每人最多可借閱</w:t>
            </w:r>
            <w:r w:rsidRPr="00120DBA">
              <w:rPr>
                <w:rFonts w:eastAsia="標楷體"/>
                <w:bCs/>
                <w:szCs w:val="24"/>
              </w:rPr>
              <w:t>4</w:t>
            </w:r>
            <w:r w:rsidRPr="00120DBA">
              <w:rPr>
                <w:rFonts w:eastAsia="標楷體"/>
                <w:bCs/>
                <w:szCs w:val="24"/>
              </w:rPr>
              <w:t>冊提高</w:t>
            </w:r>
            <w:r w:rsidRPr="00120DBA">
              <w:rPr>
                <w:rFonts w:eastAsia="標楷體"/>
                <w:szCs w:val="24"/>
              </w:rPr>
              <w:t>為</w:t>
            </w:r>
            <w:r w:rsidRPr="00120DBA">
              <w:rPr>
                <w:rFonts w:eastAsia="標楷體"/>
                <w:szCs w:val="24"/>
              </w:rPr>
              <w:t>8</w:t>
            </w:r>
            <w:r w:rsidRPr="00120DBA">
              <w:rPr>
                <w:rFonts w:eastAsia="標楷體"/>
                <w:szCs w:val="24"/>
              </w:rPr>
              <w:t>冊；對於熱門預約書則適時增購授權數；讀者建議增購親子教養及電腦方面的電子書籍，已陸續增購充實中</w:t>
            </w:r>
            <w:r w:rsidRPr="00120DBA">
              <w:rPr>
                <w:rFonts w:eastAsia="標楷體" w:hint="eastAsia"/>
                <w:szCs w:val="24"/>
              </w:rPr>
              <w:t>。</w:t>
            </w:r>
          </w:p>
        </w:tc>
      </w:tr>
    </w:tbl>
    <w:p w:rsidR="008620A4" w:rsidRDefault="008620A4" w:rsidP="0072796E">
      <w:pPr>
        <w:pStyle w:val="Standard"/>
        <w:spacing w:line="320" w:lineRule="exact"/>
        <w:jc w:val="both"/>
      </w:pPr>
    </w:p>
    <w:sectPr w:rsidR="008620A4" w:rsidSect="00096B58">
      <w:footerReference w:type="default" r:id="rId7"/>
      <w:pgSz w:w="11906" w:h="16838"/>
      <w:pgMar w:top="845" w:right="567" w:bottom="964" w:left="567" w:header="720" w:footer="851" w:gutter="0"/>
      <w:pgNumType w:start="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9F" w:rsidRDefault="0089599F">
      <w:r>
        <w:separator/>
      </w:r>
    </w:p>
  </w:endnote>
  <w:endnote w:type="continuationSeparator" w:id="0">
    <w:p w:rsidR="0089599F" w:rsidRDefault="0089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明體">
    <w:charset w:val="00"/>
    <w:family w:val="auto"/>
    <w:pitch w:val="variable"/>
  </w:font>
  <w:font w:name="華康楷書體W5外字集">
    <w:charset w:val="00"/>
    <w:family w:val="roman"/>
    <w:pitch w:val="variable"/>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1A" w:rsidRPr="00B65DB9" w:rsidRDefault="003D3B77">
    <w:pPr>
      <w:pStyle w:val="a7"/>
      <w:ind w:right="360"/>
      <w:jc w:val="center"/>
      <w:rPr>
        <w:rFonts w:asciiTheme="minorEastAsia" w:eastAsiaTheme="minorEastAsia" w:hAnsiTheme="minorEastAsia"/>
      </w:rPr>
    </w:pPr>
    <w:r w:rsidRPr="00B65DB9">
      <w:rPr>
        <w:rFonts w:asciiTheme="minorEastAsia" w:eastAsiaTheme="minorEastAsia" w:hAnsiTheme="minorEastAsia"/>
      </w:rPr>
      <w:fldChar w:fldCharType="begin"/>
    </w:r>
    <w:r w:rsidRPr="00B65DB9">
      <w:rPr>
        <w:rFonts w:asciiTheme="minorEastAsia" w:eastAsiaTheme="minorEastAsia" w:hAnsiTheme="minorEastAsia"/>
      </w:rPr>
      <w:instrText>PAGE   \* MERGEFORMAT</w:instrText>
    </w:r>
    <w:r w:rsidRPr="00B65DB9">
      <w:rPr>
        <w:rFonts w:asciiTheme="minorEastAsia" w:eastAsiaTheme="minorEastAsia" w:hAnsiTheme="minorEastAsia"/>
      </w:rPr>
      <w:fldChar w:fldCharType="separate"/>
    </w:r>
    <w:r w:rsidR="00DE137B" w:rsidRPr="00DE137B">
      <w:rPr>
        <w:rFonts w:asciiTheme="minorEastAsia" w:eastAsiaTheme="minorEastAsia" w:hAnsiTheme="minorEastAsia"/>
        <w:noProof/>
        <w:lang w:val="zh-TW"/>
      </w:rPr>
      <w:t>73</w:t>
    </w:r>
    <w:r w:rsidRPr="00B65DB9">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9F" w:rsidRDefault="0089599F">
      <w:r>
        <w:rPr>
          <w:color w:val="000000"/>
        </w:rPr>
        <w:separator/>
      </w:r>
    </w:p>
  </w:footnote>
  <w:footnote w:type="continuationSeparator" w:id="0">
    <w:p w:rsidR="0089599F" w:rsidRDefault="00895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936B9"/>
    <w:multiLevelType w:val="multilevel"/>
    <w:tmpl w:val="2CE6CBAE"/>
    <w:styleLink w:val="WWNum2"/>
    <w:lvl w:ilvl="0">
      <w:start w:val="1"/>
      <w:numFmt w:val="japaneseCounting"/>
      <w:lvlText w:val="(%1)"/>
      <w:lvlJc w:val="left"/>
      <w:pPr>
        <w:ind w:left="720" w:hanging="720"/>
      </w:pPr>
    </w:lvl>
    <w:lvl w:ilvl="1">
      <w:start w:val="1"/>
      <w:numFmt w:val="decimal"/>
      <w:lvlText w:val="%2."/>
      <w:lvlJc w:val="left"/>
      <w:pPr>
        <w:ind w:left="840" w:hanging="36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5752E7"/>
    <w:multiLevelType w:val="multilevel"/>
    <w:tmpl w:val="49BC2280"/>
    <w:styleLink w:val="WWNum3"/>
    <w:lvl w:ilvl="0">
      <w:start w:val="1"/>
      <w:numFmt w:val="decimal"/>
      <w:lvlText w:val="%1."/>
      <w:lvlJc w:val="left"/>
      <w:pPr>
        <w:ind w:left="996" w:hanging="360"/>
      </w:pPr>
    </w:lvl>
    <w:lvl w:ilvl="1">
      <w:start w:val="1"/>
      <w:numFmt w:val="ideographTraditional"/>
      <w:lvlText w:val="%2、"/>
      <w:lvlJc w:val="left"/>
      <w:pPr>
        <w:ind w:left="1596" w:hanging="480"/>
      </w:pPr>
    </w:lvl>
    <w:lvl w:ilvl="2">
      <w:start w:val="1"/>
      <w:numFmt w:val="lowerRoman"/>
      <w:lvlText w:val="%3."/>
      <w:lvlJc w:val="right"/>
      <w:pPr>
        <w:ind w:left="2076" w:hanging="480"/>
      </w:pPr>
    </w:lvl>
    <w:lvl w:ilvl="3">
      <w:start w:val="1"/>
      <w:numFmt w:val="decimal"/>
      <w:lvlText w:val="%4."/>
      <w:lvlJc w:val="left"/>
      <w:pPr>
        <w:ind w:left="2556" w:hanging="480"/>
      </w:pPr>
    </w:lvl>
    <w:lvl w:ilvl="4">
      <w:start w:val="1"/>
      <w:numFmt w:val="ideographTraditional"/>
      <w:lvlText w:val="%5、"/>
      <w:lvlJc w:val="left"/>
      <w:pPr>
        <w:ind w:left="3036" w:hanging="480"/>
      </w:pPr>
    </w:lvl>
    <w:lvl w:ilvl="5">
      <w:start w:val="1"/>
      <w:numFmt w:val="lowerRoman"/>
      <w:lvlText w:val="%6."/>
      <w:lvlJc w:val="right"/>
      <w:pPr>
        <w:ind w:left="3516" w:hanging="480"/>
      </w:pPr>
    </w:lvl>
    <w:lvl w:ilvl="6">
      <w:start w:val="1"/>
      <w:numFmt w:val="decimal"/>
      <w:lvlText w:val="%7."/>
      <w:lvlJc w:val="left"/>
      <w:pPr>
        <w:ind w:left="3996" w:hanging="480"/>
      </w:pPr>
    </w:lvl>
    <w:lvl w:ilvl="7">
      <w:start w:val="1"/>
      <w:numFmt w:val="ideographTraditional"/>
      <w:lvlText w:val="%8、"/>
      <w:lvlJc w:val="left"/>
      <w:pPr>
        <w:ind w:left="4476" w:hanging="480"/>
      </w:pPr>
    </w:lvl>
    <w:lvl w:ilvl="8">
      <w:start w:val="1"/>
      <w:numFmt w:val="lowerRoman"/>
      <w:lvlText w:val="%9."/>
      <w:lvlJc w:val="right"/>
      <w:pPr>
        <w:ind w:left="4956" w:hanging="480"/>
      </w:pPr>
    </w:lvl>
  </w:abstractNum>
  <w:abstractNum w:abstractNumId="2" w15:restartNumberingAfterBreak="0">
    <w:nsid w:val="40A11422"/>
    <w:multiLevelType w:val="multilevel"/>
    <w:tmpl w:val="35324E7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6AB7378B"/>
    <w:multiLevelType w:val="multilevel"/>
    <w:tmpl w:val="3616413E"/>
    <w:styleLink w:val="WWNum1"/>
    <w:lvl w:ilvl="0">
      <w:start w:val="1"/>
      <w:numFmt w:val="japaneseCounting"/>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A4"/>
    <w:rsid w:val="00026903"/>
    <w:rsid w:val="0003000B"/>
    <w:rsid w:val="000350D5"/>
    <w:rsid w:val="000605EB"/>
    <w:rsid w:val="00072A12"/>
    <w:rsid w:val="000773A8"/>
    <w:rsid w:val="00096B58"/>
    <w:rsid w:val="001F6EC4"/>
    <w:rsid w:val="00314F99"/>
    <w:rsid w:val="00324646"/>
    <w:rsid w:val="00384C0E"/>
    <w:rsid w:val="003D3B77"/>
    <w:rsid w:val="0043336D"/>
    <w:rsid w:val="00455ACA"/>
    <w:rsid w:val="00531FD1"/>
    <w:rsid w:val="0072796E"/>
    <w:rsid w:val="00734A3E"/>
    <w:rsid w:val="008620A4"/>
    <w:rsid w:val="008742BE"/>
    <w:rsid w:val="0089599F"/>
    <w:rsid w:val="008C01F3"/>
    <w:rsid w:val="009A3499"/>
    <w:rsid w:val="00A41469"/>
    <w:rsid w:val="00A729D9"/>
    <w:rsid w:val="00AB39E9"/>
    <w:rsid w:val="00AF720C"/>
    <w:rsid w:val="00B63AC2"/>
    <w:rsid w:val="00B65DB9"/>
    <w:rsid w:val="00BD0FAE"/>
    <w:rsid w:val="00C562C0"/>
    <w:rsid w:val="00D36819"/>
    <w:rsid w:val="00DE137B"/>
    <w:rsid w:val="00E812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11248-197C-44C7-B886-2D4EB10C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xl36">
    <w:name w:val="xl36"/>
    <w:basedOn w:val="Standard"/>
    <w:pPr>
      <w:widowControl/>
      <w:spacing w:before="100" w:after="100"/>
      <w:jc w:val="center"/>
      <w:textAlignment w:val="center"/>
    </w:pPr>
    <w:rPr>
      <w:kern w:val="0"/>
      <w:sz w:val="20"/>
    </w:rPr>
  </w:style>
  <w:style w:type="paragraph" w:styleId="Web">
    <w:name w:val="Normal (Web)"/>
    <w:basedOn w:val="Standard"/>
    <w:pPr>
      <w:widowControl/>
      <w:spacing w:before="280" w:after="280"/>
    </w:pPr>
    <w:rPr>
      <w:kern w:val="0"/>
      <w:szCs w:val="24"/>
    </w:rPr>
  </w:style>
  <w:style w:type="paragraph" w:customStyle="1" w:styleId="a5">
    <w:name w:val="(一)"/>
    <w:basedOn w:val="Standard"/>
    <w:pPr>
      <w:widowControl/>
      <w:spacing w:line="340" w:lineRule="exact"/>
      <w:ind w:left="220" w:hanging="220"/>
      <w:jc w:val="both"/>
    </w:pPr>
    <w:rPr>
      <w:rFonts w:ascii="標楷體" w:eastAsia="標楷體" w:hAnsi="標楷體" w:cs="Arial Unicode MS"/>
      <w:bCs/>
      <w:sz w:val="22"/>
      <w:szCs w:val="22"/>
    </w:rPr>
  </w:style>
  <w:style w:type="paragraph" w:styleId="a6">
    <w:name w:val="Balloon Text"/>
    <w:basedOn w:val="Standard"/>
    <w:rPr>
      <w:rFonts w:ascii="Arial" w:eastAsia="Arial" w:hAnsi="Arial" w:cs="Arial"/>
      <w:sz w:val="18"/>
      <w:szCs w:val="18"/>
    </w:rPr>
  </w:style>
  <w:style w:type="paragraph" w:styleId="a7">
    <w:name w:val="footer"/>
    <w:basedOn w:val="Standard"/>
    <w:uiPriority w:val="99"/>
    <w:pPr>
      <w:tabs>
        <w:tab w:val="center" w:pos="4153"/>
        <w:tab w:val="right" w:pos="8306"/>
      </w:tabs>
      <w:snapToGrid w:val="0"/>
    </w:pPr>
    <w:rPr>
      <w:sz w:val="20"/>
    </w:rPr>
  </w:style>
  <w:style w:type="paragraph" w:styleId="a8">
    <w:name w:val="header"/>
    <w:basedOn w:val="Standard"/>
    <w:pPr>
      <w:tabs>
        <w:tab w:val="center" w:pos="4153"/>
        <w:tab w:val="right" w:pos="8306"/>
      </w:tabs>
      <w:snapToGrid w:val="0"/>
    </w:pPr>
    <w:rPr>
      <w:sz w:val="20"/>
    </w:rPr>
  </w:style>
  <w:style w:type="paragraph" w:customStyle="1" w:styleId="a9">
    <w:name w:val="特殊段落"/>
    <w:basedOn w:val="Standard"/>
    <w:next w:val="Standard"/>
    <w:pPr>
      <w:spacing w:line="340" w:lineRule="exact"/>
      <w:ind w:left="440" w:hanging="440"/>
      <w:jc w:val="both"/>
      <w:textAlignment w:val="center"/>
    </w:pPr>
    <w:rPr>
      <w:rFonts w:eastAsia="華康細明體"/>
      <w:sz w:val="21"/>
      <w:szCs w:val="22"/>
    </w:rPr>
  </w:style>
  <w:style w:type="paragraph" w:customStyle="1" w:styleId="10">
    <w:name w:val="1."/>
    <w:basedOn w:val="a9"/>
    <w:autoRedefine/>
    <w:pPr>
      <w:ind w:left="100" w:hanging="100"/>
    </w:pPr>
    <w:rPr>
      <w:rFonts w:ascii="華康楷書體W5外字集" w:eastAsia="標楷體" w:hAnsi="華康楷書體W5外字集" w:cs="華康楷書體W5外字集"/>
      <w:sz w:val="22"/>
    </w:rPr>
  </w:style>
  <w:style w:type="paragraph" w:styleId="aa">
    <w:name w:val="annotation text"/>
    <w:basedOn w:val="Standard"/>
  </w:style>
  <w:style w:type="paragraph" w:styleId="ab">
    <w:name w:val="annotation subject"/>
    <w:basedOn w:val="aa"/>
    <w:next w:val="aa"/>
    <w:rPr>
      <w:b/>
      <w:bCs/>
    </w:rPr>
  </w:style>
  <w:style w:type="paragraph" w:styleId="ac">
    <w:name w:val="Salutation"/>
    <w:basedOn w:val="Standard"/>
    <w:next w:val="Standard"/>
  </w:style>
  <w:style w:type="paragraph" w:styleId="ad">
    <w:name w:val="Closing"/>
    <w:basedOn w:val="Standard"/>
    <w:pPr>
      <w:ind w:left="10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e">
    <w:name w:val="page number"/>
    <w:basedOn w:val="a0"/>
  </w:style>
  <w:style w:type="character" w:styleId="af">
    <w:name w:val="Emphasis"/>
    <w:basedOn w:val="a0"/>
    <w:rPr>
      <w:b w:val="0"/>
      <w:bCs w:val="0"/>
      <w:i w:val="0"/>
      <w:iCs w:val="0"/>
      <w:color w:val="CC0033"/>
    </w:rPr>
  </w:style>
  <w:style w:type="character" w:styleId="af0">
    <w:name w:val="annotation reference"/>
    <w:basedOn w:val="a0"/>
    <w:rPr>
      <w:sz w:val="18"/>
      <w:szCs w:val="18"/>
    </w:rPr>
  </w:style>
  <w:style w:type="character" w:customStyle="1" w:styleId="af1">
    <w:name w:val="註解文字 字元"/>
    <w:basedOn w:val="a0"/>
    <w:rPr>
      <w:kern w:val="3"/>
      <w:sz w:val="24"/>
    </w:rPr>
  </w:style>
  <w:style w:type="character" w:customStyle="1" w:styleId="af2">
    <w:name w:val="註解主旨 字元"/>
    <w:basedOn w:val="af1"/>
    <w:rPr>
      <w:b/>
      <w:bCs/>
      <w:kern w:val="3"/>
      <w:sz w:val="24"/>
    </w:rPr>
  </w:style>
  <w:style w:type="character" w:customStyle="1" w:styleId="af3">
    <w:name w:val="問候 字元"/>
    <w:basedOn w:val="a0"/>
    <w:rPr>
      <w:kern w:val="3"/>
      <w:sz w:val="24"/>
    </w:rPr>
  </w:style>
  <w:style w:type="character" w:customStyle="1" w:styleId="af4">
    <w:name w:val="結語 字元"/>
    <w:basedOn w:val="a0"/>
    <w:rPr>
      <w:kern w:val="3"/>
      <w:sz w:val="24"/>
    </w:rPr>
  </w:style>
  <w:style w:type="character" w:customStyle="1" w:styleId="af5">
    <w:name w:val="頁尾 字元"/>
    <w:basedOn w:val="a0"/>
    <w:uiPriority w:val="99"/>
    <w:rPr>
      <w:kern w:val="3"/>
      <w:sz w:val="2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creator>mjwu</dc:creator>
  <cp:lastModifiedBy>謝智敏</cp:lastModifiedBy>
  <cp:revision>2</cp:revision>
  <cp:lastPrinted>2023-02-03T07:04:00Z</cp:lastPrinted>
  <dcterms:created xsi:type="dcterms:W3CDTF">2023-02-06T02:33:00Z</dcterms:created>
  <dcterms:modified xsi:type="dcterms:W3CDTF">2023-02-06T02:33:00Z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ksi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